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A021" w14:textId="0CB79D6D" w:rsidR="001C51E0" w:rsidRPr="00695300" w:rsidRDefault="00324FB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5300">
        <w:rPr>
          <w:rFonts w:ascii="Times New Roman" w:eastAsia="Times New Roman" w:hAnsi="Times New Roman"/>
          <w:b/>
          <w:sz w:val="28"/>
          <w:szCs w:val="28"/>
        </w:rPr>
        <w:t xml:space="preserve">Предлагаемые первоочередные меры поддержки </w:t>
      </w:r>
      <w:r w:rsidR="00744BE4">
        <w:rPr>
          <w:rFonts w:ascii="Times New Roman" w:eastAsia="Times New Roman" w:hAnsi="Times New Roman"/>
          <w:b/>
          <w:sz w:val="28"/>
          <w:szCs w:val="28"/>
        </w:rPr>
        <w:t xml:space="preserve">социально ориентированных </w:t>
      </w:r>
      <w:r w:rsidRPr="00695300">
        <w:rPr>
          <w:rFonts w:ascii="Times New Roman" w:eastAsia="Times New Roman" w:hAnsi="Times New Roman"/>
          <w:b/>
          <w:sz w:val="28"/>
          <w:szCs w:val="28"/>
        </w:rPr>
        <w:t xml:space="preserve">некоммерческих организаций в условиях ограничений, введённых  в отношение Российской Федерации </w:t>
      </w:r>
    </w:p>
    <w:tbl>
      <w:tblPr>
        <w:tblW w:w="1456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0737"/>
      </w:tblGrid>
      <w:tr w:rsidR="001C51E0" w:rsidRPr="00695300" w14:paraId="3CE9728C" w14:textId="77777777" w:rsidTr="00324FB1"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FC9C" w14:textId="77777777" w:rsidR="001C51E0" w:rsidRPr="00814A2A" w:rsidRDefault="00324FB1" w:rsidP="00324FB1">
            <w:pPr>
              <w:spacing w:before="240" w:after="0"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4A2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Общесистемные меры поддержки для НКО</w:t>
            </w:r>
          </w:p>
        </w:tc>
        <w:tc>
          <w:tcPr>
            <w:tcW w:w="10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D8B7" w14:textId="64137D6D" w:rsidR="001C51E0" w:rsidRPr="00695300" w:rsidRDefault="00324FB1" w:rsidP="00324FB1">
            <w:pPr>
              <w:spacing w:before="240" w:after="0"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B7B7B7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Введение м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оратори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на применение санкций при реализации договоров, заключенных в рамках государственного социального заказа (закон 189-ФЗ), на поставку товаров (работ, </w:t>
            </w:r>
            <w:proofErr w:type="gramStart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услуг)для</w:t>
            </w:r>
            <w:proofErr w:type="gramEnd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государственных и муниципальных нужд (закон 44-ФЗ), на закупку товаров, работ, услуг (223-ФЗ), на оказание  социальных услуг (442-фз)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ED8E1D5" w14:textId="77777777" w:rsidR="001C51E0" w:rsidRPr="00695300" w:rsidRDefault="00324FB1" w:rsidP="00324FB1">
            <w:pPr>
              <w:spacing w:before="240" w:after="0" w:line="276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В условиях ограничений, вызванных санкционными мерами, могут возникать объективные причины, являющиеся препятствиями для надлежащего исполнения СО НКО своих обязательств, принятых на себя без учета текущей ситуации в стране. Введение моратория применение санкций за нарушение исполнения обязательств НКО позволит им более эффективно реализовать исполнение контрактов с максимальной результативностью.</w:t>
            </w:r>
          </w:p>
          <w:p w14:paraId="115CA42A" w14:textId="14C01C45" w:rsidR="001C51E0" w:rsidRPr="00695300" w:rsidRDefault="00324FB1" w:rsidP="00324FB1">
            <w:pPr>
              <w:spacing w:before="240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proofErr w:type="gramStart"/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налоговы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gramEnd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, кредитны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и жилищно-коммунальных каникул до конца 2022 для НКО, выполняющих обязательства в рамках реализации государственного социального заказа и поставки (товаров (работ, услуг) для государственных и муниципальных нужд, оказывающих социальные услуги.</w:t>
            </w:r>
          </w:p>
          <w:p w14:paraId="2A12956F" w14:textId="0389EF64" w:rsidR="001C51E0" w:rsidRPr="00695300" w:rsidRDefault="00324FB1" w:rsidP="00324FB1">
            <w:pPr>
              <w:spacing w:before="240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3) 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редоставление возможности использования режима “налог на профессиональный доход” бывшим работникам НКО без соблюдения трехлетнего срока перерыва в отношениях между НКО и работником.</w:t>
            </w:r>
          </w:p>
          <w:p w14:paraId="25FB8351" w14:textId="03E216B9" w:rsidR="001C51E0" w:rsidRPr="00695300" w:rsidRDefault="00324FB1" w:rsidP="00324FB1">
            <w:pPr>
              <w:spacing w:before="240" w:after="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4) Ускорить выполнение поручения Президента РФ</w:t>
            </w:r>
            <w:r w:rsidR="00617BE2" w:rsidRPr="00695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от  27</w:t>
            </w:r>
            <w:proofErr w:type="gramEnd"/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декабря 2018 года по итогам Государственного Совета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от 09 мая 2020 г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ода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о распространении мер поддержки, которые государство применяет к малому и среднему бизнесу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на СОНКО.</w:t>
            </w:r>
          </w:p>
        </w:tc>
      </w:tr>
      <w:tr w:rsidR="001C51E0" w:rsidRPr="00695300" w14:paraId="18962997" w14:textId="77777777" w:rsidTr="00324FB1">
        <w:tc>
          <w:tcPr>
            <w:tcW w:w="3823" w:type="dxa"/>
            <w:shd w:val="clear" w:color="auto" w:fill="auto"/>
          </w:tcPr>
          <w:p w14:paraId="62DC4092" w14:textId="77777777" w:rsidR="001C51E0" w:rsidRPr="00814A2A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lastRenderedPageBreak/>
              <w:t xml:space="preserve">Налоговые и </w:t>
            </w:r>
            <w:proofErr w:type="gramStart"/>
            <w:r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таможенные  льготы</w:t>
            </w:r>
            <w:proofErr w:type="gramEnd"/>
          </w:p>
          <w:p w14:paraId="36A60778" w14:textId="77777777" w:rsidR="001C51E0" w:rsidRPr="00695300" w:rsidRDefault="001C51E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37" w:type="dxa"/>
            <w:shd w:val="clear" w:color="auto" w:fill="auto"/>
          </w:tcPr>
          <w:p w14:paraId="1A7945B0" w14:textId="21FE57B1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r w:rsidR="00617BE2" w:rsidRPr="00695300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величение максимального размера доходов при применении упрощенной системы налогообложения</w:t>
            </w:r>
          </w:p>
          <w:p w14:paraId="3973222B" w14:textId="64892CE7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Рост цен на товары (работы, услуги) ведет к тому, что общий доход организации может превысить максимальный размер доходов, являющийся ограничением для применение упрощенной системы налогообложения. Поэтому целесообразно на период действия санкционных мер приостановить действия положений об изменении режима налогообложения в случае превышения размера доходов, допускаемого при использовании упрощенной системы налогообложения для тех НКО, которые пользуются этим режимом налогообложения на текущий момент.</w:t>
            </w:r>
          </w:p>
          <w:p w14:paraId="7D8C818A" w14:textId="77777777" w:rsidR="00DA73EA" w:rsidRPr="00695300" w:rsidRDefault="00DA73EA" w:rsidP="00324F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10F28C10" w14:textId="0845499D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асширение области применения механизма «налог на профессиональный доход», допустив возможность перехода работников СО НКО, осуществляющих деятельность в сфере социальной защиты (в том числе предоставления социального питания, образования, проживания, консультирования) на налогообложение с применением этого механизма. Приостановить на период действия санкционных мер или отменить ограничение для привлечения для выполнения работ, оказания услуг физических лиц в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 НКО в качестве самозанятых, которые являлись работниками этой организации в последние три года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BF97DC2" w14:textId="77777777" w:rsidR="00DA73EA" w:rsidRPr="00695300" w:rsidRDefault="00DA73EA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F3FD61" w14:textId="73116331" w:rsidR="001C51E0" w:rsidRPr="00695300" w:rsidRDefault="00DA73EA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>бнуление ввозных пошлин на лекарства и медицинские изделия, ввозимых благотворительными организациями в рамках реализации благотворительных программ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1744A9" w14:textId="77777777" w:rsidR="00DA73EA" w:rsidRPr="00695300" w:rsidRDefault="00DA73EA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4C5B97" w14:textId="5953C51B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4) 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нес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ти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поправ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ки в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Налоговый Кодекс и вернуть субъектам Российской Федерации право предоставлять налоговые льготы НКО.</w:t>
            </w:r>
          </w:p>
          <w:p w14:paraId="4662722B" w14:textId="67A5F9AD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Введение данного механизма необходимо в целях оперативного решения вопросов, связанных с возможными ограничениями по вовлечению мероприятия по оказанию услуг волонтерами и благотворительными организациями в сфере социальной защиты, социального питания, социального обучения лиц, оказавшихся в трудной жизненной ситуации</w:t>
            </w:r>
            <w:r w:rsidR="00DA73EA"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5683D7C" w14:textId="77777777" w:rsidR="00DA73EA" w:rsidRPr="00695300" w:rsidRDefault="00DA73EA" w:rsidP="00324F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151A5A43" w14:textId="77777777" w:rsidR="00DA73EA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5) 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свобождение 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НКО, действующих в сфере поддержки населения, в т.ч. оказывающих поддержку пострадавшим </w:t>
            </w:r>
            <w:proofErr w:type="gramStart"/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группам  населения</w:t>
            </w:r>
            <w:proofErr w:type="gramEnd"/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, 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от уплаты налоговых и страховых  платежей за второй квартал нынешнего года. </w:t>
            </w:r>
          </w:p>
          <w:p w14:paraId="49C2ABF2" w14:textId="2F058A57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Предоставление данной меры поддержки целесообразно использовать на период адаптации к изменившейся экономической ситуации в стране</w:t>
            </w:r>
          </w:p>
          <w:p w14:paraId="029908D2" w14:textId="77777777" w:rsidR="00DA73EA" w:rsidRPr="00695300" w:rsidRDefault="00DA73EA" w:rsidP="00324F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4C4B48F7" w14:textId="056D9A78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6) 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величение размера налогового вычета для МСП при пожертвовании в пользу НКО с 1% от дохода до 2 % от дохода</w:t>
            </w:r>
          </w:p>
          <w:p w14:paraId="7F3B14B4" w14:textId="77777777" w:rsidR="001C51E0" w:rsidRPr="00695300" w:rsidRDefault="001C51E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51E0" w:rsidRPr="00695300" w14:paraId="0774F689" w14:textId="77777777" w:rsidTr="00324FB1">
        <w:tc>
          <w:tcPr>
            <w:tcW w:w="3823" w:type="dxa"/>
            <w:shd w:val="clear" w:color="auto" w:fill="auto"/>
          </w:tcPr>
          <w:p w14:paraId="53C6446B" w14:textId="33650407" w:rsidR="001C51E0" w:rsidRPr="00695300" w:rsidRDefault="00DA73EA" w:rsidP="00324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lastRenderedPageBreak/>
              <w:t xml:space="preserve">Меры </w:t>
            </w:r>
            <w:proofErr w:type="gramStart"/>
            <w:r w:rsidRPr="0069530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финансовой </w:t>
            </w:r>
            <w:r w:rsidR="00324FB1" w:rsidRPr="0069530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поддержки</w:t>
            </w:r>
            <w:proofErr w:type="gramEnd"/>
          </w:p>
          <w:p w14:paraId="783BB068" w14:textId="77777777" w:rsidR="001C51E0" w:rsidRPr="00695300" w:rsidRDefault="001C51E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37" w:type="dxa"/>
            <w:shd w:val="clear" w:color="auto" w:fill="auto"/>
          </w:tcPr>
          <w:p w14:paraId="24EB896F" w14:textId="156AF2AC" w:rsidR="001C51E0" w:rsidRPr="0069530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1) </w:t>
            </w:r>
            <w:r w:rsidR="00DA73EA" w:rsidRPr="0069530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спользование механизмов налоговых каникул:  </w:t>
            </w:r>
          </w:p>
          <w:p w14:paraId="6537DBDF" w14:textId="77777777" w:rsidR="00695300" w:rsidRPr="00695300" w:rsidRDefault="00324FB1" w:rsidP="006953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продлить на шесть месяцев сроки уплаты страховых взносов в государственные внебюджетные фонды, налогов (в том числе налогов, предусмотренных специальными налоговыми режимами) и авансовых платежей по налогам, за исключением налога на добавленную стоимость. </w:t>
            </w:r>
          </w:p>
          <w:p w14:paraId="7B042057" w14:textId="7BD57341" w:rsidR="001C51E0" w:rsidRPr="00695300" w:rsidRDefault="006A7064" w:rsidP="006953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>пределить дополнительные основания и критерии предоставления этих мер поддержки «иным социально ориентированным некоммерческим организациям с учетом направлений их деятельности, в том числе в случае сокращения более чем на 30 процентов денежных средств (включая пожертвования), получаемых этими организациями на осуществление основной уставной деятельности.</w:t>
            </w:r>
          </w:p>
          <w:p w14:paraId="22B14BC4" w14:textId="77777777" w:rsidR="00695300" w:rsidRPr="00695300" w:rsidRDefault="00695300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59B292" w14:textId="6CA16D2C" w:rsidR="001C51E0" w:rsidRPr="0069530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r w:rsidR="006A706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спользование механизмов кредитных каникул:</w:t>
            </w:r>
          </w:p>
          <w:p w14:paraId="54248CBD" w14:textId="2B51657C" w:rsidR="001C51E0" w:rsidRDefault="00324FB1" w:rsidP="006A70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064">
              <w:rPr>
                <w:rFonts w:ascii="Times New Roman" w:eastAsia="Times New Roman" w:hAnsi="Times New Roman"/>
                <w:sz w:val="28"/>
                <w:szCs w:val="28"/>
              </w:rPr>
              <w:t>обязать Центробанк  ускорить в соответствии с</w:t>
            </w:r>
            <w:r w:rsidR="00695300" w:rsidRPr="006A7064">
              <w:rPr>
                <w:rFonts w:ascii="Times New Roman" w:hAnsi="Times New Roman"/>
                <w:sz w:val="28"/>
                <w:szCs w:val="28"/>
              </w:rPr>
              <w:t xml:space="preserve"> перечнем </w:t>
            </w:r>
            <w:r w:rsidR="00695300" w:rsidRP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поручений президента Российской Федерации по итогам заседания Совета при Президенте Российской Федерации по развитию гражданского общества и правам человека 9 декабря 2021 г. (Пр-189) </w:t>
            </w:r>
            <w:r w:rsidRP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разработку методики работы </w:t>
            </w:r>
            <w:r w:rsidR="006A7064" w:rsidRP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 банков </w:t>
            </w:r>
            <w:r w:rsidRP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с СО НКО в части предоставление им кредитов </w:t>
            </w:r>
            <w:r w:rsidR="006A7064" w:rsidRP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 и немедленно внедрить методику в деятельность банков; определить шаги по реструктуризации  платежей ей  </w:t>
            </w:r>
            <w:r w:rsidRPr="006A7064">
              <w:rPr>
                <w:rFonts w:ascii="Times New Roman" w:eastAsia="Times New Roman" w:hAnsi="Times New Roman"/>
                <w:sz w:val="28"/>
                <w:szCs w:val="28"/>
              </w:rPr>
              <w:t>и переноса сроков для внесения очередных платежей</w:t>
            </w:r>
            <w:r w:rsid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 по кредитным обязательствам НКО</w:t>
            </w:r>
            <w:r w:rsidRP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14:paraId="6CAF10AC" w14:textId="77777777" w:rsidR="00DF0FC5" w:rsidRPr="006A7064" w:rsidRDefault="00DF0FC5" w:rsidP="00DF0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79C152" w14:textId="77777777" w:rsidR="006A7064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3) </w:t>
            </w:r>
            <w:proofErr w:type="gramStart"/>
            <w:r w:rsidR="006A7064">
              <w:rPr>
                <w:rFonts w:ascii="Times New Roman" w:eastAsia="Times New Roman" w:hAnsi="Times New Roman"/>
                <w:sz w:val="28"/>
                <w:szCs w:val="28"/>
              </w:rPr>
              <w:t>Рассмотреть  возможность</w:t>
            </w:r>
            <w:proofErr w:type="gramEnd"/>
            <w:r w:rsidR="006A706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кредитовани</w:t>
            </w:r>
            <w:r w:rsidR="006A706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 СО НКО за счет средств государственной субсидии на выплату зарплат сотрудникам. </w:t>
            </w:r>
          </w:p>
          <w:p w14:paraId="1938189D" w14:textId="131F9365" w:rsidR="001C51E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Кредитование</w:t>
            </w:r>
            <w:r w:rsid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также </w:t>
            </w:r>
            <w:r w:rsidRP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может</w:t>
            </w:r>
            <w:proofErr w:type="gramEnd"/>
            <w:r w:rsidRP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быть произведено путем включения в контракт (работы, услуги,  социальный заказ,  субсидия)  с СО НКО о 100-процентном авансировании деятельности организации для выполнения обязательств по гос</w:t>
            </w:r>
            <w:r w:rsid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ударственному</w:t>
            </w:r>
            <w:r w:rsidRP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(муницип</w:t>
            </w:r>
            <w:r w:rsid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альному</w:t>
            </w:r>
            <w:r w:rsidRP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 контракту</w:t>
            </w:r>
            <w:r w:rsid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или договору предоставление субсидии на оказание услуг.</w:t>
            </w:r>
            <w:r w:rsidRPr="006A70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 </w:t>
            </w:r>
          </w:p>
          <w:p w14:paraId="3D663560" w14:textId="77777777" w:rsidR="00DF0FC5" w:rsidRPr="00695300" w:rsidRDefault="00DF0FC5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6AEFC4" w14:textId="77777777" w:rsidR="00DF0FC5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4)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>Вв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едение моратория на санкции и штрафы при реализации субсидий на оказание социальных услуг</w:t>
            </w:r>
            <w:r w:rsidRP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814EC5F" w14:textId="3C4162C4" w:rsidR="001C51E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Обязать государственных (муниципальных) заказчиков на основании дополнительного соглашения </w:t>
            </w:r>
            <w:proofErr w:type="gramStart"/>
            <w:r w:rsidRP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приостанавливать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gramEnd"/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корректировать) </w:t>
            </w:r>
            <w:r w:rsidRPr="00DF0FC5">
              <w:rPr>
                <w:rFonts w:ascii="Times New Roman" w:eastAsia="Times New Roman" w:hAnsi="Times New Roman"/>
                <w:sz w:val="28"/>
                <w:szCs w:val="28"/>
              </w:rPr>
              <w:t>действия контрактов, предусматривающих обязательное применения санкций за нарушение сроков или объемов предоставляемых услуг, выполняемых работ до исчезновения обстоятельств, препятствующих выполнения контрактных обязательств в установленные сроки и (или) определенном объеме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76BFB6" w14:textId="77777777" w:rsidR="00DF0FC5" w:rsidRPr="00695300" w:rsidRDefault="00DF0FC5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vertAlign w:val="superscript"/>
              </w:rPr>
            </w:pPr>
          </w:p>
          <w:p w14:paraId="75BCA7DD" w14:textId="58276C49" w:rsidR="001C51E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5)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ыделение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 уполномоченными органами ( в рамках реализации программ поддержки СОНКО или иных специализированных мероприятий поддержки) 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субсидии СОНКО на компенсацию издержек, связанных с получением обучения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 и прохождения стажировки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в других регионах Российской Федерации (на конкурсной основе и на особо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 значимые темы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темы</w:t>
            </w:r>
            <w:r w:rsidRP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) в целях оперативного обмена методиками с высокими показателями </w:t>
            </w:r>
            <w:r w:rsidR="00DF0FC5" w:rsidRPr="00DF0FC5">
              <w:rPr>
                <w:rFonts w:ascii="Times New Roman" w:eastAsia="Times New Roman" w:hAnsi="Times New Roman"/>
                <w:sz w:val="28"/>
                <w:szCs w:val="28"/>
              </w:rPr>
              <w:t>социальной полезности помощи населению на фоне санкций.</w:t>
            </w:r>
          </w:p>
          <w:p w14:paraId="7B720B4D" w14:textId="77777777" w:rsidR="00DF0FC5" w:rsidRPr="00695300" w:rsidRDefault="00DF0FC5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180C1B1" w14:textId="692B2D7E" w:rsidR="001C51E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6)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ыделение благотворительным организациям субсидий на компенсацию издержек, связанных с оплатой аренды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 xml:space="preserve">помещений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и коммунальных услуг в объеме, пропорциональном реализуемым благотворительным программам.</w:t>
            </w:r>
          </w:p>
          <w:p w14:paraId="17F20A2A" w14:textId="77777777" w:rsidR="00DF0FC5" w:rsidRPr="00695300" w:rsidRDefault="00DF0FC5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939F9C" w14:textId="7252D6FA" w:rsidR="001C51E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7) </w:t>
            </w:r>
            <w:r w:rsidR="00DF0FC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ведение моратория на начисление и взыскание неустойки по долгам за ЖКУ</w:t>
            </w:r>
            <w:r w:rsidR="00E3748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0E17DF" w14:textId="77777777" w:rsidR="00E37480" w:rsidRPr="00695300" w:rsidRDefault="00E37480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5EE442" w14:textId="187ACA5B" w:rsidR="001C51E0" w:rsidRPr="00695300" w:rsidRDefault="00324FB1" w:rsidP="00695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8)  </w:t>
            </w:r>
            <w:r w:rsidR="00E3748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редоставление льготных кредитов или субсидий для предотвращения банкротства</w:t>
            </w:r>
            <w:r w:rsid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6067A7D8" w14:textId="77777777" w:rsidR="001C51E0" w:rsidRPr="00695300" w:rsidRDefault="00324FB1" w:rsidP="00324FB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Форматы субсидии могут быть следующими:</w:t>
            </w:r>
          </w:p>
          <w:p w14:paraId="039EEAA8" w14:textId="77777777" w:rsidR="001C51E0" w:rsidRPr="00695300" w:rsidRDefault="00324FB1" w:rsidP="00324FB1">
            <w:pPr>
              <w:numPr>
                <w:ilvl w:val="0"/>
                <w:numId w:val="2"/>
              </w:numPr>
              <w:spacing w:after="0" w:line="240" w:lineRule="auto"/>
              <w:ind w:left="106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Субсидия на компенсацию процентов по кредитам и банковским гарантиям (по аналогии с кредитованием субъектов МСП, пострадавших от COVID-19);</w:t>
            </w:r>
          </w:p>
          <w:p w14:paraId="029CD2B4" w14:textId="39B1C7F8" w:rsidR="001C51E0" w:rsidRDefault="00324FB1" w:rsidP="00324FB1">
            <w:pPr>
              <w:numPr>
                <w:ilvl w:val="0"/>
                <w:numId w:val="2"/>
              </w:numPr>
              <w:spacing w:after="0" w:line="240" w:lineRule="auto"/>
              <w:ind w:left="106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гарантийного фонда, выступающего гарантом для организаций банковского сектора в случае нарушения НКО условий кредитного договора (по аналогии с Корпорацией МСП). Такой гарантийный фонд можно создать в </w:t>
            </w:r>
            <w:proofErr w:type="gramStart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рамках  инфраструктуры</w:t>
            </w:r>
            <w:proofErr w:type="gramEnd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поддержки СО НКО.</w:t>
            </w:r>
          </w:p>
          <w:p w14:paraId="745156CC" w14:textId="77777777" w:rsidR="00E37480" w:rsidRPr="00695300" w:rsidRDefault="00E37480" w:rsidP="00E37480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4BE22F" w14:textId="31198867" w:rsidR="001C51E0" w:rsidRPr="00E3748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9) 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>ключение в контракты на реализацию государственного социального заказа, поставку товаров (работ, услуг) для государственных и муниципальных нужд, оказание услуг в социальной сфере в соответствии с 442-ФЗ положений об авансировании деятельности СО НКО в случае отсутствия у него собственных ресурсов на выполнения обязательств, принятых по этим контрактам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B929768" w14:textId="77777777" w:rsidR="00E37480" w:rsidRPr="00E37480" w:rsidRDefault="00E3748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311804" w14:textId="102BC183" w:rsidR="001C51E0" w:rsidRPr="00E3748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10) 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редоставление </w:t>
            </w:r>
            <w:proofErr w:type="gramStart"/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>прав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СО</w:t>
            </w:r>
            <w:proofErr w:type="gramEnd"/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НКО размещать 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полученные и временно свободные средства 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>субсиди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и грант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ов 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на краткосрочных депозитах. Полученные доходы в виде процентов освободить от налогообложения, </w:t>
            </w:r>
            <w:proofErr w:type="gramStart"/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поскольку 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законодательством</w:t>
            </w:r>
            <w:proofErr w:type="gramEnd"/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>не допускается использование средств, полученных из бюджетных источников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для использования в коммерческих целях.</w:t>
            </w:r>
          </w:p>
          <w:p w14:paraId="79AB7B47" w14:textId="77777777" w:rsidR="00E37480" w:rsidRPr="00E37480" w:rsidRDefault="00E3748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73345D" w14:textId="56214213" w:rsidR="001C51E0" w:rsidRPr="00E3748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11) 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Рассмотреть возможность внесения 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>изменени</w:t>
            </w:r>
            <w:r w:rsidR="00E37480" w:rsidRPr="00E3748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в Указ Президента РФ от 28 февраля 2022 года в части требования об обязательной продажи 80 процентов валютной выручки путем введения исключения для благотворительных организаций, получающих пожертвования в валюте для реализации благотворительных программ</w:t>
            </w:r>
          </w:p>
          <w:p w14:paraId="100CADEF" w14:textId="77777777" w:rsidR="007B022A" w:rsidRPr="00E37480" w:rsidRDefault="007B022A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AC7E45" w14:textId="0FAB5FC7" w:rsidR="001C51E0" w:rsidRPr="00695300" w:rsidRDefault="007B022A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12) Организовать и </w:t>
            </w:r>
            <w:proofErr w:type="gramStart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провести  Фонду</w:t>
            </w:r>
            <w:proofErr w:type="gramEnd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президентских грантов и фондам губернаторских грантов (иным органам и организациям с аналогичными функциями в субъектах РФ) 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специального  (дополнительного) конкурса проектов СОНКО  на предоставление субсидий  (на федеральном и региональном  уровне) для СОНКО , осуществляющих деятельность по  поддержке  пострадавших групп населения и </w:t>
            </w:r>
            <w:r w:rsidR="00E37480">
              <w:rPr>
                <w:rFonts w:ascii="Times New Roman" w:eastAsia="Times New Roman" w:hAnsi="Times New Roman"/>
                <w:sz w:val="28"/>
                <w:szCs w:val="28"/>
              </w:rPr>
              <w:t xml:space="preserve"> действиях  в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социально-значимых тем</w:t>
            </w:r>
            <w:r w:rsidR="00E37480">
              <w:rPr>
                <w:rFonts w:ascii="Times New Roman" w:eastAsia="Times New Roman" w:hAnsi="Times New Roman"/>
                <w:sz w:val="28"/>
                <w:szCs w:val="28"/>
              </w:rPr>
              <w:t>ах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C51E0" w:rsidRPr="00695300" w14:paraId="1AFCBFA6" w14:textId="77777777" w:rsidTr="00324FB1">
        <w:tc>
          <w:tcPr>
            <w:tcW w:w="3823" w:type="dxa"/>
            <w:shd w:val="clear" w:color="auto" w:fill="auto"/>
          </w:tcPr>
          <w:p w14:paraId="2D22949A" w14:textId="77777777" w:rsidR="001C51E0" w:rsidRPr="00814A2A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lastRenderedPageBreak/>
              <w:t>Меры информационной поддержки</w:t>
            </w:r>
          </w:p>
          <w:p w14:paraId="22AB9F94" w14:textId="77777777" w:rsidR="001C51E0" w:rsidRPr="00695300" w:rsidRDefault="001C51E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37" w:type="dxa"/>
            <w:shd w:val="clear" w:color="auto" w:fill="auto"/>
          </w:tcPr>
          <w:p w14:paraId="2D15BD1E" w14:textId="065E570D" w:rsidR="001C51E0" w:rsidRPr="00E45E7F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r w:rsidR="00E37480" w:rsidRPr="00E45E7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нформирование СОНКО о мерах поддержки через </w:t>
            </w:r>
            <w:r w:rsidR="00E37480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единый 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специализированный общедоступный ресурс или портал Госуслуг.</w:t>
            </w:r>
          </w:p>
          <w:p w14:paraId="6C3E5161" w14:textId="77777777" w:rsidR="00E37480" w:rsidRPr="00E45E7F" w:rsidRDefault="00E3748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050543" w14:textId="54F52D28" w:rsidR="001C51E0" w:rsidRPr="00E45E7F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r w:rsidR="00E37480" w:rsidRPr="00E45E7F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едоставление </w:t>
            </w:r>
            <w:r w:rsidR="00E37480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субсидий на 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компенсаци</w:t>
            </w:r>
            <w:r w:rsidR="00E37480" w:rsidRPr="00E45E7F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издерж</w:t>
            </w:r>
            <w:r w:rsidR="00E37480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ек 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СОНКО</w:t>
            </w:r>
            <w:proofErr w:type="gramEnd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на адаптацию каналов коммуникации со своими целевыми группами и цифровых инструментов работы в условиях санкционных ограничений.  </w:t>
            </w:r>
          </w:p>
          <w:p w14:paraId="6A2B7483" w14:textId="77777777" w:rsidR="00E37480" w:rsidRPr="00E45E7F" w:rsidRDefault="00E3748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A79B40" w14:textId="10CB3136" w:rsidR="001C51E0" w:rsidRPr="00E45E7F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3) 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Обеспечить во взаимодействии с объединениями </w:t>
            </w:r>
            <w:r w:rsidR="00E45E7F" w:rsidRPr="007B0F12">
              <w:rPr>
                <w:rFonts w:ascii="Times New Roman" w:eastAsia="Times New Roman" w:hAnsi="Times New Roman"/>
                <w:sz w:val="28"/>
                <w:szCs w:val="28"/>
              </w:rPr>
              <w:t>IT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-бизнеса и/или в рамках поддержки </w:t>
            </w:r>
            <w:r w:rsidR="00E45E7F" w:rsidRPr="007B0F12">
              <w:rPr>
                <w:rFonts w:ascii="Times New Roman" w:eastAsia="Times New Roman" w:hAnsi="Times New Roman"/>
                <w:sz w:val="28"/>
                <w:szCs w:val="28"/>
              </w:rPr>
              <w:t>IT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>-отрасли л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ьготный (специальный) доступ СОНКО к цифровым инструментам и сервисам (например, CRM, облачные хранилища, платформам видеоконференций и </w:t>
            </w:r>
            <w:proofErr w:type="gramStart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др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proofErr w:type="gramEnd"/>
          </w:p>
          <w:p w14:paraId="43C54F57" w14:textId="718CE255" w:rsidR="001C51E0" w:rsidRPr="00E45E7F" w:rsidRDefault="00E45E7F" w:rsidP="00324FB1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324FB1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) Распространение мер поддержки федерального проекта «Цифровые технологии» национальной программы «Цифровая экономика Российской Федерации» Минкомсвязи </w:t>
            </w:r>
            <w:proofErr w:type="gramStart"/>
            <w:r w:rsidR="00324FB1" w:rsidRPr="00E45E7F">
              <w:rPr>
                <w:rFonts w:ascii="Times New Roman" w:eastAsia="Times New Roman" w:hAnsi="Times New Roman"/>
                <w:sz w:val="28"/>
                <w:szCs w:val="28"/>
              </w:rPr>
              <w:t>России  на</w:t>
            </w:r>
            <w:proofErr w:type="gramEnd"/>
            <w:r w:rsidR="00324FB1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некоммерческий сектор.</w:t>
            </w:r>
          </w:p>
          <w:p w14:paraId="0381A596" w14:textId="77777777" w:rsidR="001C51E0" w:rsidRPr="00E45E7F" w:rsidRDefault="00324FB1" w:rsidP="00324FB1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Снять ограничения доступа НКО к участию в реализации  федерального проекта «Цифровые технологии» национальной программы «Цифровая экономика Российской Федерации» Минкомсвязью России  (мера государственной поддержки российским организациям, реализующим проекты по цифровой трансформации и внедряющим ИТ-решения, посредством предоставления льготных (субсидированных) кредитов и 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факторинга через уполномоченные банки); в т.ч. проверить и снять ограничения на использования НКО банковских инструментов.</w:t>
            </w:r>
          </w:p>
          <w:p w14:paraId="1FBA0AF7" w14:textId="56B5332B" w:rsidR="001C51E0" w:rsidRPr="00E45E7F" w:rsidRDefault="00324FB1" w:rsidP="00324FB1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gramStart"/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азработка  и</w:t>
            </w:r>
            <w:proofErr w:type="gramEnd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внедрение механизма субсидированного доступа к мобильным решениям и техническим комплексам (</w:t>
            </w:r>
            <w:proofErr w:type="spellStart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испортозамещаемым</w:t>
            </w:r>
            <w:proofErr w:type="spellEnd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платформам и оборудованию для ведения онлайн деятельности)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3F43644C" w14:textId="281740D4" w:rsidR="001C51E0" w:rsidRPr="00E45E7F" w:rsidRDefault="00324FB1" w:rsidP="00324FB1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)  </w:t>
            </w:r>
            <w:r w:rsidR="00E45E7F" w:rsidRPr="00E45E7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недрение для СОНКО </w:t>
            </w:r>
            <w:proofErr w:type="gramStart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льготы  по</w:t>
            </w:r>
            <w:proofErr w:type="gramEnd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 оплате комплектов электронных подписей для получения  доступа к онлайн госуслугам и взаимодействиям с ведомствами.</w:t>
            </w:r>
          </w:p>
          <w:p w14:paraId="6C5E9C28" w14:textId="7AA693C6" w:rsidR="00E45E7F" w:rsidRPr="00E45E7F" w:rsidRDefault="00E45E7F" w:rsidP="00324FB1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 xml:space="preserve">7) Мониторинг состояния, проблем и перспектив СО НКО на фоне санкций, подготовленные в качестве ежегодного </w:t>
            </w:r>
            <w:proofErr w:type="gramStart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доклада  (</w:t>
            </w:r>
            <w:proofErr w:type="gramEnd"/>
            <w:r w:rsidRPr="00E45E7F">
              <w:rPr>
                <w:rFonts w:ascii="Times New Roman" w:eastAsia="Times New Roman" w:hAnsi="Times New Roman"/>
                <w:sz w:val="28"/>
                <w:szCs w:val="28"/>
              </w:rPr>
              <w:t>федерального и региональных) о состоянии и перспективах развития СО НКО и результативности мер его поддержки.</w:t>
            </w:r>
          </w:p>
          <w:p w14:paraId="12D1F04F" w14:textId="1F537D8E" w:rsidR="00E45E7F" w:rsidRPr="007B0F12" w:rsidRDefault="007B0F12" w:rsidP="00324FB1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E45E7F" w:rsidRPr="007B0F12">
              <w:rPr>
                <w:rFonts w:ascii="Times New Roman" w:eastAsia="Times New Roman" w:hAnsi="Times New Roman"/>
                <w:sz w:val="28"/>
                <w:szCs w:val="28"/>
              </w:rPr>
              <w:t>) О</w:t>
            </w:r>
            <w:r w:rsidRPr="007B0F12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="00E45E7F" w:rsidRPr="007B0F12">
              <w:rPr>
                <w:rFonts w:ascii="Times New Roman" w:eastAsia="Times New Roman" w:hAnsi="Times New Roman"/>
                <w:sz w:val="28"/>
                <w:szCs w:val="28"/>
              </w:rPr>
              <w:t xml:space="preserve">ормление и закрепление процедуры участия СО НКО в решении вопросов местного значения в части антикризисной поддержки </w:t>
            </w:r>
            <w:proofErr w:type="gramStart"/>
            <w:r w:rsidR="00E45E7F" w:rsidRPr="007B0F12">
              <w:rPr>
                <w:rFonts w:ascii="Times New Roman" w:eastAsia="Times New Roman" w:hAnsi="Times New Roman"/>
                <w:sz w:val="28"/>
                <w:szCs w:val="28"/>
              </w:rPr>
              <w:t>населения ,</w:t>
            </w:r>
            <w:proofErr w:type="gramEnd"/>
            <w:r w:rsidR="00E45E7F" w:rsidRPr="007B0F12">
              <w:rPr>
                <w:rFonts w:ascii="Times New Roman" w:eastAsia="Times New Roman" w:hAnsi="Times New Roman"/>
                <w:sz w:val="28"/>
                <w:szCs w:val="28"/>
              </w:rPr>
              <w:t xml:space="preserve">  в том числе требований к проведению независимой экспертизы и общественного мониторинга внедрения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процедур предоставления помощи и поддержки . </w:t>
            </w:r>
          </w:p>
        </w:tc>
      </w:tr>
      <w:tr w:rsidR="001C51E0" w:rsidRPr="00695300" w14:paraId="5EEC10CA" w14:textId="77777777" w:rsidTr="00324FB1">
        <w:tc>
          <w:tcPr>
            <w:tcW w:w="3823" w:type="dxa"/>
            <w:shd w:val="clear" w:color="auto" w:fill="auto"/>
          </w:tcPr>
          <w:p w14:paraId="6D50F894" w14:textId="498B326C" w:rsidR="001C51E0" w:rsidRPr="00814A2A" w:rsidRDefault="00814A2A" w:rsidP="00324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lastRenderedPageBreak/>
              <w:t>М</w:t>
            </w:r>
            <w:r w:rsidR="00324FB1"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еры </w:t>
            </w:r>
            <w:r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организационно-</w:t>
            </w:r>
            <w:proofErr w:type="gramStart"/>
            <w:r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правовой  </w:t>
            </w:r>
            <w:r w:rsidR="00324FB1"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поддержки</w:t>
            </w:r>
            <w:proofErr w:type="gramEnd"/>
          </w:p>
          <w:p w14:paraId="565D2539" w14:textId="77777777" w:rsidR="001C51E0" w:rsidRPr="00695300" w:rsidRDefault="001C51E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37" w:type="dxa"/>
            <w:shd w:val="clear" w:color="auto" w:fill="auto"/>
          </w:tcPr>
          <w:p w14:paraId="5610DB0D" w14:textId="0CC9F6C0" w:rsidR="000F2C45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="007B022A" w:rsidRPr="0069530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0F2C45" w:rsidRPr="00695300">
              <w:rPr>
                <w:rFonts w:ascii="Times New Roman" w:eastAsia="Times New Roman" w:hAnsi="Times New Roman"/>
                <w:sz w:val="28"/>
                <w:szCs w:val="28"/>
              </w:rPr>
              <w:t>ведение  режима</w:t>
            </w:r>
            <w:proofErr w:type="gramEnd"/>
            <w:r w:rsidR="000F2C45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 «нормативной стабильности»  (приостановление рассмотрение проектов, создающих дополнительные обязанности для СО НКО)</w:t>
            </w:r>
            <w:r w:rsidR="007B0F1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B0BED7B" w14:textId="77777777" w:rsidR="007B0F12" w:rsidRPr="00695300" w:rsidRDefault="007B0F12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69E56E" w14:textId="49272423" w:rsidR="001C51E0" w:rsidRDefault="00C93A02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proofErr w:type="gramStart"/>
            <w:r w:rsidR="007B022A" w:rsidRPr="0069530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азработка </w:t>
            </w:r>
            <w:r w:rsidR="000F2C45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proofErr w:type="gramEnd"/>
            <w:r w:rsidR="000F2C45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нормативное  закрепление 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>упрощенн</w:t>
            </w:r>
            <w:r w:rsidR="000F2C45" w:rsidRPr="00695300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поряд</w:t>
            </w:r>
            <w:r w:rsidR="000F2C45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ка 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выхода учредителя из НКО (подача заявление в уполномоченный орган без нотариального удостоверения подписи или по инициативе самого НКО в случае смерти учредителя или утраты с ним связи)</w:t>
            </w:r>
            <w:r w:rsidR="007B0F1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A22B47" w14:textId="77777777" w:rsidR="007B0F12" w:rsidRPr="00695300" w:rsidRDefault="007B0F12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59449D" w14:textId="05596E46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3) </w:t>
            </w:r>
            <w:r w:rsidR="007B022A" w:rsidRPr="00695300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прощение требований к подаче </w:t>
            </w:r>
            <w:r w:rsidR="007B0F12">
              <w:rPr>
                <w:rFonts w:ascii="Times New Roman" w:eastAsia="Times New Roman" w:hAnsi="Times New Roman"/>
                <w:sz w:val="28"/>
                <w:szCs w:val="28"/>
              </w:rPr>
              <w:t xml:space="preserve">СОНКО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отчетности</w:t>
            </w:r>
            <w:r w:rsidR="007B0F1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8C6EA3A" w14:textId="77777777" w:rsidR="00C93A02" w:rsidRPr="00695300" w:rsidRDefault="00C93A02" w:rsidP="00C93A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в отсутствие приобретаемого в установленном порядке статуса «благотворительная организация» сократить для НКО, позиционирующими себя инициативно в качестве благотворительных, путем освобождения их от предоставления отчета в органы юстиции в срок до 31 марта</w:t>
            </w:r>
          </w:p>
          <w:p w14:paraId="3816D75B" w14:textId="771EDCF7" w:rsidR="00C93A02" w:rsidRPr="00695300" w:rsidRDefault="00C93A02" w:rsidP="00C93A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упрощение порядка размещение отчетности НКО в сети Интернет путем предоставления возможности размещения отчетности на любых ресурсах в Интернет, а не только на информационном ресурсе Министерства юстиции</w:t>
            </w:r>
          </w:p>
          <w:p w14:paraId="5AAA3252" w14:textId="77777777" w:rsidR="001C51E0" w:rsidRPr="00695300" w:rsidRDefault="00324FB1" w:rsidP="00324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НКО, выполняющих функции иностранного агента, право предоставлять отчеты в территориальное управление уполномоченного органа (Минюста России) или путем </w:t>
            </w:r>
            <w:proofErr w:type="gramStart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размещение  этих</w:t>
            </w:r>
            <w:proofErr w:type="gramEnd"/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отчетов на специальном ресурсе органов юстиции</w:t>
            </w:r>
          </w:p>
          <w:p w14:paraId="4095C3AA" w14:textId="77777777" w:rsidR="001C51E0" w:rsidRPr="00695300" w:rsidRDefault="00324FB1" w:rsidP="00324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освобождение от обязательного аудита НКО в форме фондов, получающих доходы в отчетный период более трех миллионов путем увеличения размера доходов, получаемых НКО в отчетный период. На практике остается непонятным, по какой причине одним НКО, получающим доходы более трех миллионов, не требуется прохождение аудита, а у других данное требование является обязательным. Необходимо также учитывать и то обстоятельство, что подавляющее количество НКО в форме фондов на территории России</w:t>
            </w:r>
          </w:p>
          <w:p w14:paraId="4DEBF551" w14:textId="77777777" w:rsidR="007B0F12" w:rsidRPr="007B0F12" w:rsidRDefault="007B0F12" w:rsidP="00324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становление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закрытого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списка 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«прозрачных» требований к объему запрашиваемых у НКО материалов и информации при проведении проверочных мероприятий уполномоченным органом. </w:t>
            </w:r>
          </w:p>
          <w:p w14:paraId="4C801996" w14:textId="702EF9FE" w:rsidR="001C51E0" w:rsidRDefault="007B0F12" w:rsidP="007B0F1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324FB1" w:rsidRPr="007B0F1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Пример, при проведении проверки органами юстиции у НКО запрашивают информацию об оплате услуг на обслуживание банковского счета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).</w:t>
            </w:r>
          </w:p>
          <w:p w14:paraId="55396FBF" w14:textId="77777777" w:rsidR="007B0F12" w:rsidRPr="007B0F12" w:rsidRDefault="007B0F12" w:rsidP="007B0F1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69627E9C" w14:textId="37572B74" w:rsidR="001C51E0" w:rsidRDefault="00324FB1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4) Возобновление практики распространение Минюстом России методических рекомендаций по применению законодательства о НКО </w:t>
            </w:r>
            <w:r w:rsidR="007B0F1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  <w:r w:rsidR="007B0F1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DF5B612" w14:textId="77777777" w:rsidR="007B0F12" w:rsidRPr="00695300" w:rsidRDefault="007B0F12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AE6E90" w14:textId="262AC747" w:rsidR="00C93A02" w:rsidRDefault="00324FB1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5) </w:t>
            </w:r>
            <w:r w:rsidR="00C93A02" w:rsidRPr="0069530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азработка упрощенной процедуры ликвидации НКО в случае утраты связи с лицами, входившими в состав высшего органа управления НКО. </w:t>
            </w:r>
          </w:p>
          <w:p w14:paraId="522BA2DE" w14:textId="77777777" w:rsidR="007B0F12" w:rsidRPr="00695300" w:rsidRDefault="007B0F12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A00ED4" w14:textId="6D92352C" w:rsidR="001C51E0" w:rsidRDefault="00C93A02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6) 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>Предусмотреть в законодательстве процедуру “временного приостановления” деятельности СО НКО до исчезновения обстоятельств, препятствующих ведению ее уставной деятельности</w:t>
            </w:r>
            <w:r w:rsidR="007B0F1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D0ED0A6" w14:textId="77777777" w:rsidR="007B0F12" w:rsidRPr="00695300" w:rsidRDefault="007B0F12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7F8DB7" w14:textId="77777777" w:rsidR="00C93A02" w:rsidRPr="00695300" w:rsidRDefault="00C93A02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>ведение в законодательство о некоммерческих организациях поняти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 “инфраструктура поддержки СО НКО” с целью оказание консультационной, </w:t>
            </w: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информационной, </w:t>
            </w:r>
            <w:r w:rsidR="00324FB1"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имущественной и иных форм поддержки СО НКО. Определение в законодательстве мер, направленных на развитие и поддержку развития инфраструктуры. </w:t>
            </w:r>
          </w:p>
          <w:p w14:paraId="51657A8F" w14:textId="4FF5EB0B" w:rsidR="001C51E0" w:rsidRPr="00695300" w:rsidRDefault="00324FB1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Ускорение</w:t>
            </w:r>
            <w:r w:rsidR="002E26A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правового оформления </w:t>
            </w: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данного </w:t>
            </w:r>
            <w:r w:rsidR="00993DA2"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инструмента </w:t>
            </w:r>
            <w:proofErr w:type="gramStart"/>
            <w:r w:rsidR="00993DA2"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поддержки </w:t>
            </w: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на</w:t>
            </w:r>
            <w:proofErr w:type="gramEnd"/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текущий момент становится еще более актуальн</w:t>
            </w:r>
            <w:r w:rsidR="00C93A02"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ым</w:t>
            </w: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поскольку в изменяющихся условиях возросла потребность в наличии разветвленной сети специализированных субъектов, помогающим СО НКО решать новые возникающие проблемы.</w:t>
            </w:r>
          </w:p>
          <w:p w14:paraId="3D1BABD9" w14:textId="456BE08C" w:rsidR="001C51E0" w:rsidRPr="00695300" w:rsidRDefault="00993DA2" w:rsidP="00324FB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Кроме </w:t>
            </w:r>
            <w:proofErr w:type="gramStart"/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того</w:t>
            </w:r>
            <w:r w:rsidR="002E26A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в</w:t>
            </w:r>
            <w:proofErr w:type="gramEnd"/>
            <w:r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условиях цифровизации н</w:t>
            </w:r>
            <w:r w:rsidR="00324FB1" w:rsidRPr="0069530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еобходимо не только развивать IT-инфраструктуру для НКО, но вкладываться в интенсификацию ее использования организациями путем организации их обучения и предоставлении мер информационной поддержки.</w:t>
            </w:r>
          </w:p>
          <w:p w14:paraId="347C966C" w14:textId="77777777" w:rsidR="001C51E0" w:rsidRPr="00695300" w:rsidRDefault="001C51E0" w:rsidP="00324FB1">
            <w:pPr>
              <w:spacing w:after="0" w:line="240" w:lineRule="auto"/>
              <w:ind w:left="360"/>
              <w:rPr>
                <w:rFonts w:ascii="Times New Roman" w:eastAsia="Arial" w:hAnsi="Times New Roman"/>
                <w:sz w:val="28"/>
                <w:szCs w:val="28"/>
                <w:shd w:val="clear" w:color="auto" w:fill="999999"/>
              </w:rPr>
            </w:pPr>
          </w:p>
          <w:p w14:paraId="2AA389D9" w14:textId="77777777" w:rsidR="001C51E0" w:rsidRPr="00695300" w:rsidRDefault="001C51E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51E0" w:rsidRPr="00695300" w14:paraId="1E001E8C" w14:textId="77777777" w:rsidTr="00324FB1">
        <w:tc>
          <w:tcPr>
            <w:tcW w:w="3823" w:type="dxa"/>
            <w:shd w:val="clear" w:color="auto" w:fill="auto"/>
          </w:tcPr>
          <w:p w14:paraId="214CEFC0" w14:textId="77777777" w:rsidR="001C51E0" w:rsidRPr="00814A2A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814A2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lastRenderedPageBreak/>
              <w:t>Меры поддержки работников СО НКО</w:t>
            </w:r>
          </w:p>
          <w:p w14:paraId="1F964E7A" w14:textId="77777777" w:rsidR="001C51E0" w:rsidRPr="00695300" w:rsidRDefault="001C51E0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37" w:type="dxa"/>
            <w:shd w:val="clear" w:color="auto" w:fill="auto"/>
          </w:tcPr>
          <w:p w14:paraId="2CA0E846" w14:textId="77777777" w:rsidR="00FC4B03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r w:rsidR="007B0F12" w:rsidRPr="00FC4B0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аспространение на работников СОНКО, осуществляющих свою деятельность </w:t>
            </w:r>
            <w:proofErr w:type="gramStart"/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7B0F12"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>сфере</w:t>
            </w:r>
            <w:proofErr w:type="gramEnd"/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B0F12" w:rsidRPr="00FC4B03">
              <w:rPr>
                <w:rFonts w:ascii="Times New Roman" w:eastAsia="Times New Roman" w:hAnsi="Times New Roman"/>
                <w:sz w:val="28"/>
                <w:szCs w:val="28"/>
              </w:rPr>
              <w:t>социально</w:t>
            </w:r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го обслуживания, организации </w:t>
            </w:r>
            <w:r w:rsidR="007B0F12" w:rsidRPr="00FC4B03">
              <w:rPr>
                <w:rFonts w:ascii="Times New Roman" w:eastAsia="Times New Roman" w:hAnsi="Times New Roman"/>
                <w:sz w:val="28"/>
                <w:szCs w:val="28"/>
              </w:rPr>
              <w:t>социального питания, социального проживания, социального образования</w:t>
            </w:r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 мер поддержки работников бюджетной сферы в </w:t>
            </w:r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>аналогичных  тематических отраслях</w:t>
            </w:r>
            <w:r w:rsidR="00FC4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4D5ADC" w14:textId="5709C394" w:rsidR="001C51E0" w:rsidRPr="00FC4B03" w:rsidRDefault="00FC4B03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6A3A123" w14:textId="4AC434C6" w:rsidR="001C51E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>ыдача беспроцентн</w:t>
            </w:r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 кредит</w:t>
            </w:r>
            <w:r w:rsidR="00FC4B03" w:rsidRPr="00FC4B0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 для СО НКО за счет средств государственной субсидии на выплату зарплат сотрудникам. При условии сохранения среднесписочной численности к 01.03.2023 года на уровне не менее 90% от показателя на 1 марта 2022 года, освободить предприятия от выплат задолженности по данным кредитам</w:t>
            </w:r>
            <w:r w:rsidR="00FC4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DB89A0" w14:textId="77777777" w:rsidR="00FC4B03" w:rsidRPr="00695300" w:rsidRDefault="00FC4B03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4E696ED1" w14:textId="4AFB1001" w:rsidR="001C51E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3) </w:t>
            </w:r>
            <w:r w:rsidR="00FC4B0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>редоставление льготных путевок в санатории и детские лагеря различных форм собственности сотрудникам СОНКО и членам их семей</w:t>
            </w:r>
            <w:r w:rsidR="00FC4B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CA1DF91" w14:textId="77777777" w:rsidR="00FC4B03" w:rsidRPr="00FC4B03" w:rsidRDefault="00FC4B03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CD1D1F" w14:textId="1CB51C33" w:rsidR="001C51E0" w:rsidRPr="00FC4B03" w:rsidRDefault="00324FB1" w:rsidP="00324FB1">
            <w:pPr>
              <w:spacing w:after="0" w:line="240" w:lineRule="auto"/>
              <w:rPr>
                <w:rFonts w:ascii="Times New Roman" w:eastAsia="Roboto" w:hAnsi="Times New Roman"/>
                <w:sz w:val="28"/>
                <w:szCs w:val="28"/>
              </w:rPr>
            </w:pP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4) </w:t>
            </w:r>
            <w:r w:rsidR="00FC4B0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редоставление первоочередного приема детей в муниципальные дошкольные образовательные организации или компенсация платы за присмотр и уход за ребенком сотрудникам и волонтерам СОНКО, занятым непосредственной помощью </w:t>
            </w:r>
            <w:r w:rsid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особенно пострадавшим группам 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>населени</w:t>
            </w:r>
            <w:r w:rsidR="00FC4B03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FC4B0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00E2F5E6" w14:textId="77777777" w:rsidR="001C51E0" w:rsidRPr="00695300" w:rsidRDefault="00324FB1" w:rsidP="00324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300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 </w:t>
            </w:r>
          </w:p>
        </w:tc>
      </w:tr>
    </w:tbl>
    <w:p w14:paraId="05A097DD" w14:textId="77777777" w:rsidR="001C51E0" w:rsidRPr="00695300" w:rsidRDefault="001C51E0">
      <w:pPr>
        <w:rPr>
          <w:rFonts w:ascii="Times New Roman" w:eastAsia="Times New Roman" w:hAnsi="Times New Roman"/>
          <w:sz w:val="28"/>
          <w:szCs w:val="28"/>
        </w:rPr>
      </w:pPr>
    </w:p>
    <w:p w14:paraId="7CEE9E55" w14:textId="77777777" w:rsidR="001C51E0" w:rsidRPr="00695300" w:rsidRDefault="001C51E0">
      <w:pPr>
        <w:ind w:left="348"/>
        <w:rPr>
          <w:rFonts w:ascii="Times New Roman" w:eastAsia="Times New Roman" w:hAnsi="Times New Roman"/>
          <w:sz w:val="28"/>
          <w:szCs w:val="28"/>
        </w:rPr>
      </w:pPr>
    </w:p>
    <w:p w14:paraId="693D2F68" w14:textId="77777777" w:rsidR="001C51E0" w:rsidRPr="00695300" w:rsidRDefault="001C51E0">
      <w:pPr>
        <w:rPr>
          <w:rFonts w:ascii="Times New Roman" w:hAnsi="Times New Roman"/>
          <w:sz w:val="28"/>
          <w:szCs w:val="28"/>
        </w:rPr>
      </w:pPr>
    </w:p>
    <w:sectPr w:rsidR="001C51E0" w:rsidRPr="00695300">
      <w:footerReference w:type="default" r:id="rId8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8391" w14:textId="77777777" w:rsidR="007A0073" w:rsidRDefault="007A0073" w:rsidP="00E607E1">
      <w:pPr>
        <w:spacing w:after="0" w:line="240" w:lineRule="auto"/>
      </w:pPr>
      <w:r>
        <w:separator/>
      </w:r>
    </w:p>
  </w:endnote>
  <w:endnote w:type="continuationSeparator" w:id="0">
    <w:p w14:paraId="5761493C" w14:textId="77777777" w:rsidR="007A0073" w:rsidRDefault="007A0073" w:rsidP="00E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F494" w14:textId="77777777" w:rsidR="00E607E1" w:rsidRDefault="00E607E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B729C8" w14:textId="77777777" w:rsidR="00E607E1" w:rsidRDefault="00E607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55DF" w14:textId="77777777" w:rsidR="007A0073" w:rsidRDefault="007A0073" w:rsidP="00E607E1">
      <w:pPr>
        <w:spacing w:after="0" w:line="240" w:lineRule="auto"/>
      </w:pPr>
      <w:r>
        <w:separator/>
      </w:r>
    </w:p>
  </w:footnote>
  <w:footnote w:type="continuationSeparator" w:id="0">
    <w:p w14:paraId="06EF2E37" w14:textId="77777777" w:rsidR="007A0073" w:rsidRDefault="007A0073" w:rsidP="00E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3CB"/>
    <w:multiLevelType w:val="multilevel"/>
    <w:tmpl w:val="99327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FA782F"/>
    <w:multiLevelType w:val="hybridMultilevel"/>
    <w:tmpl w:val="CD88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B06C4"/>
    <w:multiLevelType w:val="multilevel"/>
    <w:tmpl w:val="A0E29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B27061"/>
    <w:multiLevelType w:val="hybridMultilevel"/>
    <w:tmpl w:val="215C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E0"/>
    <w:rsid w:val="000F2C45"/>
    <w:rsid w:val="001C51E0"/>
    <w:rsid w:val="002E26AB"/>
    <w:rsid w:val="00324FB1"/>
    <w:rsid w:val="00347455"/>
    <w:rsid w:val="00347EE6"/>
    <w:rsid w:val="00440C9D"/>
    <w:rsid w:val="00466415"/>
    <w:rsid w:val="00602600"/>
    <w:rsid w:val="00617BE2"/>
    <w:rsid w:val="006916C0"/>
    <w:rsid w:val="00695300"/>
    <w:rsid w:val="006A7064"/>
    <w:rsid w:val="00744BE4"/>
    <w:rsid w:val="007A0073"/>
    <w:rsid w:val="007B022A"/>
    <w:rsid w:val="007B0F12"/>
    <w:rsid w:val="00814A2A"/>
    <w:rsid w:val="00993DA2"/>
    <w:rsid w:val="009D7414"/>
    <w:rsid w:val="00B8044C"/>
    <w:rsid w:val="00C93A02"/>
    <w:rsid w:val="00DA73EA"/>
    <w:rsid w:val="00DF0FC5"/>
    <w:rsid w:val="00E37480"/>
    <w:rsid w:val="00E45E7F"/>
    <w:rsid w:val="00E607E1"/>
    <w:rsid w:val="00F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1451"/>
  <w15:docId w15:val="{97A04964-C417-4401-B6AD-14E0834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58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5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07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07E1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607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7E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92kdPtICGMcSKpMMbssPJehw8w==">AMUW2mXfx7CdizkVIRKdB+bV4tSDap2JYv1EvoPSXaDs6AGt0QQ32tq172hX2XVOX/WXOaiSZyQyaJ5DAxdq26khQhqG4QygpOklBzURPpHFs/VOByazFRQ=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Маковецкая;Мария Оборина;Сергей Максимов</dc:creator>
  <cp:keywords/>
  <cp:lastModifiedBy>Irina Kovbasiuk</cp:lastModifiedBy>
  <cp:revision>2</cp:revision>
  <dcterms:created xsi:type="dcterms:W3CDTF">2022-03-21T07:54:00Z</dcterms:created>
  <dcterms:modified xsi:type="dcterms:W3CDTF">2022-03-21T07:54:00Z</dcterms:modified>
</cp:coreProperties>
</file>