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26244" w14:textId="77777777" w:rsidR="003D1D92" w:rsidRPr="003D1D92" w:rsidRDefault="003D1D92" w:rsidP="003D1D92">
      <w:pPr>
        <w:shd w:val="clear" w:color="auto" w:fill="F2F3F3"/>
        <w:spacing w:after="210" w:line="240" w:lineRule="auto"/>
        <w:textAlignment w:val="baseline"/>
        <w:outlineLvl w:val="0"/>
        <w:rPr>
          <w:rFonts w:ascii="Open Sans" w:eastAsia="Times New Roman" w:hAnsi="Open Sans" w:cs="Open Sans"/>
          <w:b/>
          <w:bCs/>
          <w:color w:val="010101"/>
          <w:kern w:val="36"/>
          <w:sz w:val="30"/>
          <w:szCs w:val="30"/>
          <w:lang w:eastAsia="ru-RU"/>
        </w:rPr>
      </w:pPr>
      <w:r w:rsidRPr="003D1D92">
        <w:rPr>
          <w:rFonts w:ascii="Open Sans" w:eastAsia="Times New Roman" w:hAnsi="Open Sans" w:cs="Open Sans"/>
          <w:b/>
          <w:bCs/>
          <w:color w:val="010101"/>
          <w:kern w:val="36"/>
          <w:sz w:val="30"/>
          <w:szCs w:val="30"/>
          <w:lang w:eastAsia="ru-RU"/>
        </w:rPr>
        <w:t>7 ТРЕНДОВ: МИР ФАСИЛИТАЦИИ И ФАСИЛИТАЦИЯ В МИРЕ</w:t>
      </w:r>
    </w:p>
    <w:p w14:paraId="12C0A691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3C2D6AE" w14:textId="2813A23E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noProof/>
          <w:color w:val="4C4C4C"/>
          <w:sz w:val="23"/>
          <w:szCs w:val="23"/>
          <w:lang w:eastAsia="ru-RU"/>
        </w:rPr>
        <w:drawing>
          <wp:inline distT="0" distB="0" distL="0" distR="0" wp14:anchorId="392303E5" wp14:editId="1C313D91">
            <wp:extent cx="5940425" cy="178117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2880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301A7FCA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За последний год Андрей Колесников, эксперт в области фасилитации и управляющий собственник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PowerLexis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, прошел международную сертификацию IAF Certified™ Professional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Facilitator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, став одним из трех CPF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в России, и посетил три международные конференции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IAF:</w:t>
      </w:r>
    </w:p>
    <w:p w14:paraId="03A54825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76CD6C29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- Азиатская (Япония, сентябрь 2018), «Развитие международных обучающих сообществ: выстраивание профессиональных связей внутри групп и между ними».</w:t>
      </w:r>
    </w:p>
    <w:p w14:paraId="41BB4DF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- Северная Америка и страны Карибского бассейна (Канада, май 2018), «Расширение горизонтов фасилитации».</w:t>
      </w:r>
    </w:p>
    <w:p w14:paraId="49ABCEBB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- Европейская (Франция, октябрь 2017), «Внедрение позитивных изменений – сила фасилитации».</w:t>
      </w:r>
    </w:p>
    <w:p w14:paraId="5F26C462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6D48C561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По итогам Андрей Колесников выделил </w:t>
      </w:r>
      <w:r w:rsidRPr="003D1D92">
        <w:rPr>
          <w:rFonts w:ascii="Open Sans" w:eastAsia="Times New Roman" w:hAnsi="Open Sans" w:cs="Open Sans"/>
          <w:b/>
          <w:bCs/>
          <w:color w:val="4C4C4C"/>
          <w:sz w:val="23"/>
          <w:szCs w:val="23"/>
          <w:bdr w:val="none" w:sz="0" w:space="0" w:color="auto" w:frame="1"/>
          <w:lang w:eastAsia="ru-RU"/>
        </w:rPr>
        <w:t>7 ключевых трендов фасилитации</w:t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и подробно остановился на каждом из них:</w:t>
      </w:r>
    </w:p>
    <w:p w14:paraId="1BC91C04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D449003" w14:textId="77777777" w:rsidR="003D1D92" w:rsidRPr="003D1D92" w:rsidRDefault="003D1D92" w:rsidP="003D1D92">
      <w:pPr>
        <w:shd w:val="clear" w:color="auto" w:fill="F2F3F3"/>
        <w:spacing w:after="0" w:line="600" w:lineRule="atLeast"/>
        <w:textAlignment w:val="baseline"/>
        <w:outlineLvl w:val="3"/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</w:pPr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 xml:space="preserve">1. Рост применения в </w:t>
      </w:r>
      <w:proofErr w:type="spellStart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фасилитационных</w:t>
      </w:r>
      <w:proofErr w:type="spellEnd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 xml:space="preserve"> сессиях инструментов, технологий и экспертного опыта из смежных областей</w:t>
      </w:r>
    </w:p>
    <w:p w14:paraId="1A556C4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5A289C10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В последнее время четкие границы применения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фасилитационных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инструментов стираются. Все чаще происходит синергия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фасилитационных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технологий и практик со смежными направлениями такими как коучинг и тренинги, менеджмент и маркетинг, системное и дизайн-мышление, психология и психотерапия, и т.д. Фасилитация становится неотъемлемой частью методов, применяемых в других областях, и порой четко определить ее границы невозможно.</w:t>
      </w:r>
    </w:p>
    <w:p w14:paraId="62F806B3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6025E8A7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Данная тенденция отчетливо прослеживается в проблематике всех международных конференций IAF. Отражение тренда можно обнаружить прямо в </w:t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lastRenderedPageBreak/>
        <w:t>названиях некоторых мастер-классов и воркшопов. Так, на мастер-классах в Азии «Синергия фасилитации и коучинга — лучший прорывной метод работ» и «Коучинг и фасилитация: сходства и различия» обсуждалась как раз тонкая грань между двумя направлениями.</w:t>
      </w:r>
    </w:p>
    <w:p w14:paraId="295B3087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2A616710" w14:textId="699D4D9B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noProof/>
          <w:color w:val="4C4C4C"/>
          <w:sz w:val="23"/>
          <w:szCs w:val="23"/>
          <w:lang w:eastAsia="ru-RU"/>
        </w:rPr>
        <w:drawing>
          <wp:inline distT="0" distB="0" distL="0" distR="0" wp14:anchorId="0F594362" wp14:editId="2569DF03">
            <wp:extent cx="3808730" cy="2282190"/>
            <wp:effectExtent l="0" t="0" r="127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Здесь же стоит отметить и другие воркшопы, связывающие фасилитацию со смежными направлениями. «Психодрама и фасилитация», «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Фасилитаторство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с креативным мышлением, дизайн-мышление», «Системное мышление – фасилитация» в Японии. Мастер-классы, посвященные публичным выступлениям 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сторителлингу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в Северной Америке. На европейской конференции на воркшопах по фасилитации обсуждали применяемую в менеджменте теорию U, говорили о фасилитации для управленцев. Был и мастер-класс по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эмбодимент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подходу, предполагающий совмещение и активную работу с телом.</w:t>
      </w:r>
    </w:p>
    <w:p w14:paraId="75BB973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38A61BD6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Комплексный подход к проведению фасилитации позволяет продумывать и реализовывать сложные и нестандартные проекты, а также включать в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фасилитационную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сессию что-то принципиально новое. Результат от применения такой концепции может получиться более объемным и разносторонним. Как правило, один человек, эксперт по фасилитации, не может обладать сразу всеми компетенциями из смежных областей. Поэтому компаниям, которые занимаются развитием сразу нескольких близких к друг другу направлений, намного легче справляться с подобного рода проектами.</w:t>
      </w:r>
    </w:p>
    <w:p w14:paraId="5786B363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659CC437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То же самое касается и применения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фасилитационных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инструментов в различных тренингах и сессиях из смежных областей, позволяющее управлять групповыми процессами эффективнее с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фасилитационной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точки зрения.</w:t>
      </w:r>
    </w:p>
    <w:p w14:paraId="4A20575C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55C4350B" w14:textId="77777777" w:rsidR="003D1D92" w:rsidRPr="003D1D92" w:rsidRDefault="003D1D92" w:rsidP="003D1D92">
      <w:pPr>
        <w:shd w:val="clear" w:color="auto" w:fill="F2F3F3"/>
        <w:spacing w:after="0" w:line="600" w:lineRule="atLeast"/>
        <w:textAlignment w:val="baseline"/>
        <w:outlineLvl w:val="3"/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</w:pPr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2. Смещение акцента на использование метода позитивных изменений: AI (</w:t>
      </w:r>
      <w:proofErr w:type="spellStart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appreciative</w:t>
      </w:r>
      <w:proofErr w:type="spellEnd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 xml:space="preserve"> </w:t>
      </w:r>
      <w:proofErr w:type="spellStart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inquiry</w:t>
      </w:r>
      <w:proofErr w:type="spellEnd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) &amp; SF (</w:t>
      </w:r>
      <w:proofErr w:type="spellStart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solutions</w:t>
      </w:r>
      <w:proofErr w:type="spellEnd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 xml:space="preserve"> </w:t>
      </w:r>
      <w:proofErr w:type="spellStart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focus</w:t>
      </w:r>
      <w:proofErr w:type="spellEnd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)</w:t>
      </w:r>
    </w:p>
    <w:p w14:paraId="6333D1EB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560905ED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lastRenderedPageBreak/>
        <w:t xml:space="preserve">На Западе, в Америке и Азии наблюдается увеличение использования в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фасилитационных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сессиях метода позитивных изменений, так называемый «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appreciative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inquiry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and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solutions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focus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». Фокус на позитивных изменениях предполагает такой подход, который основан не на проблемах, а на плюсах и позитивных сторонах. Количество фасилитаций с применением метода позитивных изменений заметно возрастает.</w:t>
      </w:r>
    </w:p>
    <w:p w14:paraId="333541F8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1D309E03" w14:textId="6EDDFDCC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noProof/>
          <w:color w:val="4C4C4C"/>
          <w:sz w:val="23"/>
          <w:szCs w:val="23"/>
          <w:lang w:eastAsia="ru-RU"/>
        </w:rPr>
        <w:drawing>
          <wp:inline distT="0" distB="0" distL="0" distR="0" wp14:anchorId="6E7ABC3F" wp14:editId="3B42059C">
            <wp:extent cx="5940425" cy="28486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A78A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186A39CB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Когда мы размышляем о том, как нам прийти к образу желаемого будущего, очень часто первый вопрос, который возникает в голове: «Какие у нас есть барьеры и что нам мешает добиться поставленной цели?» Однако, вопросы с акцентом на отрицательных сторонах зачастую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демотивируют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. Поэтому лучше говорить не о проблемах, а о том, что нам уже позволило добиться неплохих результатов и прийти в ту точку, где мы сейчас находимся. Какие именно позитивные стороны, наши свойства и качества позволили достичь результата? И далее сфокусироваться на этих вещах с целью сделать еще один шаг вперед.</w:t>
      </w:r>
    </w:p>
    <w:p w14:paraId="3E37E083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0ACCB2C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Вместе с тем, стоит помнить, что многие эксперты по позитивным изменениям рекомендуют не сбрасывать противоположный метод со счетов и считают, что нужно рассматривать оба метода в комплексе, поскольку в таких вещах очень важен баланс. Однако при этом стараться делать акцент на позитив. Концентрация лишь на проблемах убивает энергию.</w:t>
      </w:r>
    </w:p>
    <w:p w14:paraId="7FFB18B1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5EEF49F7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Часто приводится простой и распространенный пример из жизни: ребенок возвращается из школы, и родители спрашивают, какие оценки он принес. «Три пятерки и одна тройка», – отвечает ученик. В большинстве случаев первый вопрос, который идет следом: «Откуда тройка?». Получается, что три пятерки – это само собой разумеющееся и не требует никакого анализа.</w:t>
      </w:r>
    </w:p>
    <w:p w14:paraId="1CF5844A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11E0D284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Методу позитивных изменений была посвящена тема одной из международных конференций, которая проходила в Европе. Звучала она следующим образом – «Внедрение позитивных изменений – сила фасилитации». Ориентированные на </w:t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lastRenderedPageBreak/>
        <w:t>позитивные изменения темы мастер-классов и воркшопов встречались очень часто не только в Европе, но и в Азии и Северной Америке. Вот только некоторые из них: «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Фасилитируем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позитивные изменения», «Активизирующий коктейль позитивного изменения», «Благодарное руководство к фасилитации», «Позитивные изменения со смыслом», «Как выражение недосказанного может стимулировать позитивные изменения», «Перенаправляем негативную энергию в позитивную», «Работа с трудностями от участника».</w:t>
      </w:r>
    </w:p>
    <w:p w14:paraId="78F8DE4D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7E7533B1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Также стоит отметить, что метод позитивных изменений все чаще используется не только при применении фасилитации, но и в развитии персонала и компаний в целом.</w:t>
      </w:r>
    </w:p>
    <w:p w14:paraId="714D1A17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35EEC9E2" w14:textId="77777777" w:rsidR="003D1D92" w:rsidRPr="003D1D92" w:rsidRDefault="003D1D92" w:rsidP="003D1D92">
      <w:pPr>
        <w:shd w:val="clear" w:color="auto" w:fill="F2F3F3"/>
        <w:spacing w:after="0" w:line="600" w:lineRule="atLeast"/>
        <w:textAlignment w:val="baseline"/>
        <w:outlineLvl w:val="3"/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</w:pPr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3. Повышение роли создания креативной атмосферы, организации пространства и подключения новых каналов восприятия</w:t>
      </w:r>
    </w:p>
    <w:p w14:paraId="24C3C1BD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4EC32F3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Все большее значение на международных конференциях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отводится созданию творческой атмосферы при помощи креативной организации пространства. Это позволяет сильнее погрузиться в тематику. Так, необычный антураж достигается благодаря сразу нескольким аспектам:</w:t>
      </w:r>
    </w:p>
    <w:p w14:paraId="746B4C19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53534149" w14:textId="77777777" w:rsidR="003D1D92" w:rsidRPr="003D1D92" w:rsidRDefault="003D1D92" w:rsidP="003D1D92">
      <w:pPr>
        <w:numPr>
          <w:ilvl w:val="0"/>
          <w:numId w:val="1"/>
        </w:numPr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- Работа не только со стенами, но и со всем остальным пространством (пол, столы и т.д.)</w:t>
      </w:r>
    </w:p>
    <w:p w14:paraId="3BFC5E11" w14:textId="77777777" w:rsidR="003D1D92" w:rsidRPr="003D1D92" w:rsidRDefault="003D1D92" w:rsidP="003D1D92">
      <w:pPr>
        <w:numPr>
          <w:ilvl w:val="0"/>
          <w:numId w:val="1"/>
        </w:numPr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- Использование нестандартных вещей (помимо традиционных плакатов 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фасилитационных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карточек, в дело идут различные фигурки и даже подручные инструменты).</w:t>
      </w:r>
    </w:p>
    <w:p w14:paraId="5BB19621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- Непривычные способы применения предметов.</w:t>
      </w:r>
    </w:p>
    <w:tbl>
      <w:tblPr>
        <w:tblW w:w="14700" w:type="dxa"/>
        <w:shd w:val="clear" w:color="auto" w:fill="F2F3F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0"/>
        <w:gridCol w:w="7350"/>
      </w:tblGrid>
      <w:tr w:rsidR="003D1D92" w:rsidRPr="003D1D92" w14:paraId="2A92630E" w14:textId="77777777" w:rsidTr="003D1D92"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D955AA" w14:textId="7EC7DD0B" w:rsidR="003D1D92" w:rsidRPr="003D1D92" w:rsidRDefault="003D1D92" w:rsidP="003D1D92">
            <w:pPr>
              <w:spacing w:after="0" w:line="240" w:lineRule="auto"/>
              <w:rPr>
                <w:rFonts w:ascii="Open Sans" w:eastAsia="Times New Roman" w:hAnsi="Open Sans" w:cs="Open Sans"/>
                <w:color w:val="4C4C4C"/>
                <w:sz w:val="23"/>
                <w:szCs w:val="23"/>
                <w:lang w:eastAsia="ru-RU"/>
              </w:rPr>
            </w:pPr>
            <w:r w:rsidRPr="003D1D92">
              <w:rPr>
                <w:rFonts w:ascii="Open Sans" w:eastAsia="Times New Roman" w:hAnsi="Open Sans" w:cs="Open Sans"/>
                <w:noProof/>
                <w:color w:val="4C4C4C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7594BF2F" wp14:editId="5FFCC2BE">
                  <wp:extent cx="4667250" cy="349885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B84742" w14:textId="3A464D03" w:rsidR="003D1D92" w:rsidRPr="003D1D92" w:rsidRDefault="003D1D92" w:rsidP="003D1D92">
            <w:pPr>
              <w:spacing w:after="0" w:line="240" w:lineRule="auto"/>
              <w:rPr>
                <w:rFonts w:ascii="Open Sans" w:eastAsia="Times New Roman" w:hAnsi="Open Sans" w:cs="Open Sans"/>
                <w:color w:val="4C4C4C"/>
                <w:sz w:val="23"/>
                <w:szCs w:val="23"/>
                <w:lang w:eastAsia="ru-RU"/>
              </w:rPr>
            </w:pPr>
            <w:r w:rsidRPr="003D1D92">
              <w:rPr>
                <w:rFonts w:ascii="Open Sans" w:eastAsia="Times New Roman" w:hAnsi="Open Sans" w:cs="Open Sans"/>
                <w:noProof/>
                <w:color w:val="4C4C4C"/>
                <w:sz w:val="23"/>
                <w:szCs w:val="23"/>
                <w:lang w:eastAsia="ru-RU"/>
              </w:rPr>
              <w:drawing>
                <wp:inline distT="0" distB="0" distL="0" distR="0" wp14:anchorId="6677697B" wp14:editId="31C0533E">
                  <wp:extent cx="4667250" cy="349885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ECCC7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032CD15" w14:textId="77777777" w:rsidR="003D1D92" w:rsidRPr="003D1D92" w:rsidRDefault="003D1D92" w:rsidP="003D1D92">
      <w:pPr>
        <w:shd w:val="clear" w:color="auto" w:fill="F2F3F3"/>
        <w:spacing w:after="0" w:line="240" w:lineRule="auto"/>
        <w:jc w:val="right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37F2497D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Например, в Париже на мастер-классе, посвященном городу будущего, </w:t>
      </w:r>
      <w:r w:rsidRPr="003D1D92">
        <w:rPr>
          <w:rFonts w:ascii="Open Sans" w:eastAsia="Times New Roman" w:hAnsi="Open Sans" w:cs="Open Sans"/>
          <w:b/>
          <w:bCs/>
          <w:color w:val="4C4C4C"/>
          <w:sz w:val="23"/>
          <w:szCs w:val="23"/>
          <w:bdr w:val="none" w:sz="0" w:space="0" w:color="auto" w:frame="1"/>
          <w:lang w:eastAsia="ru-RU"/>
        </w:rPr>
        <w:t>на стенах</w:t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активно использовались изображения и предметы, которые отсылали именно к этой теме.</w:t>
      </w:r>
    </w:p>
    <w:p w14:paraId="64FA165A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69387008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Все популярнее на конференциях становится </w:t>
      </w:r>
      <w:r w:rsidRPr="003D1D92">
        <w:rPr>
          <w:rFonts w:ascii="Open Sans" w:eastAsia="Times New Roman" w:hAnsi="Open Sans" w:cs="Open Sans"/>
          <w:b/>
          <w:bCs/>
          <w:color w:val="4C4C4C"/>
          <w:sz w:val="23"/>
          <w:szCs w:val="23"/>
          <w:bdr w:val="none" w:sz="0" w:space="0" w:color="auto" w:frame="1"/>
          <w:lang w:eastAsia="ru-RU"/>
        </w:rPr>
        <w:t>работа с полом</w:t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, включая перенос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флипчартов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на горизонтальную поверхность. К примеру, на конференции в Японии на одном из мастер-классов, который одновременно проводили 4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из разных стран, использовалась напольная ткань-скатерть. На ней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фасилитаторы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разместили карточки и вещицы, которые они привезли из своих стран. Еще один интересный кейс – на масштабном заключительном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пленаре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отсутствовали столы, а вместо них использовались круги из толстого картона. Люди сидели вместе и рисовали. Такой прием позволил максимально убрать барьеры и наладить сплоченную работу. Это очень важно, поскольку на фасилитации, особенно на первом этапе, нужно добиться того, чтобы люди отошли от формализма, которого поначалу очень много.</w:t>
      </w:r>
    </w:p>
    <w:p w14:paraId="352ECDFB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tbl>
      <w:tblPr>
        <w:tblW w:w="14400" w:type="dxa"/>
        <w:shd w:val="clear" w:color="auto" w:fill="F2F3F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0"/>
        <w:gridCol w:w="7050"/>
      </w:tblGrid>
      <w:tr w:rsidR="003D1D92" w:rsidRPr="003D1D92" w14:paraId="5F8931F7" w14:textId="77777777" w:rsidTr="003D1D92"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0DF50" w14:textId="57A6B0EE" w:rsidR="003D1D92" w:rsidRPr="003D1D92" w:rsidRDefault="003D1D92" w:rsidP="003D1D92">
            <w:pPr>
              <w:spacing w:after="0" w:line="240" w:lineRule="auto"/>
              <w:rPr>
                <w:rFonts w:ascii="Open Sans" w:eastAsia="Times New Roman" w:hAnsi="Open Sans" w:cs="Open Sans"/>
                <w:color w:val="4C4C4C"/>
                <w:sz w:val="23"/>
                <w:szCs w:val="23"/>
                <w:lang w:eastAsia="ru-RU"/>
              </w:rPr>
            </w:pPr>
            <w:r w:rsidRPr="003D1D92">
              <w:rPr>
                <w:rFonts w:ascii="Open Sans" w:eastAsia="Times New Roman" w:hAnsi="Open Sans" w:cs="Open Sans"/>
                <w:noProof/>
                <w:color w:val="4C4C4C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0E1673D2" wp14:editId="252D5871">
                  <wp:extent cx="4667250" cy="349885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A3E4B1" w14:textId="16CBCCEE" w:rsidR="003D1D92" w:rsidRPr="003D1D92" w:rsidRDefault="003D1D92" w:rsidP="003D1D92">
            <w:pPr>
              <w:spacing w:after="0" w:line="240" w:lineRule="auto"/>
              <w:rPr>
                <w:rFonts w:ascii="Open Sans" w:eastAsia="Times New Roman" w:hAnsi="Open Sans" w:cs="Open Sans"/>
                <w:color w:val="4C4C4C"/>
                <w:sz w:val="23"/>
                <w:szCs w:val="23"/>
                <w:lang w:eastAsia="ru-RU"/>
              </w:rPr>
            </w:pPr>
            <w:r w:rsidRPr="003D1D92">
              <w:rPr>
                <w:rFonts w:ascii="Open Sans" w:eastAsia="Times New Roman" w:hAnsi="Open Sans" w:cs="Open Sans"/>
                <w:noProof/>
                <w:color w:val="4C4C4C"/>
                <w:sz w:val="23"/>
                <w:szCs w:val="23"/>
                <w:lang w:eastAsia="ru-RU"/>
              </w:rPr>
              <w:drawing>
                <wp:inline distT="0" distB="0" distL="0" distR="0" wp14:anchorId="0E65F47E" wp14:editId="69810C90">
                  <wp:extent cx="2663825" cy="3554095"/>
                  <wp:effectExtent l="0" t="0" r="317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35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EBE80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40EF124F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В свою очередь, в Европе на одном из мастер-классов удалось вообще уйти от формальности за счет полного отсутствия столов и самого формата мероприятия, который проводил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-хореограф. Участники воркшопа должны были самостоятельно следить за стульями и с их помощью организовывать пространство.</w:t>
      </w:r>
    </w:p>
    <w:p w14:paraId="2E9E4A6D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tbl>
      <w:tblPr>
        <w:tblW w:w="14700" w:type="dxa"/>
        <w:shd w:val="clear" w:color="auto" w:fill="F2F3F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0"/>
        <w:gridCol w:w="7350"/>
      </w:tblGrid>
      <w:tr w:rsidR="003D1D92" w:rsidRPr="003D1D92" w14:paraId="4FF09B48" w14:textId="77777777" w:rsidTr="003D1D92"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9F664" w14:textId="57AAB481" w:rsidR="003D1D92" w:rsidRPr="003D1D92" w:rsidRDefault="003D1D92" w:rsidP="003D1D92">
            <w:pPr>
              <w:spacing w:after="0" w:line="240" w:lineRule="auto"/>
              <w:rPr>
                <w:rFonts w:ascii="Open Sans" w:eastAsia="Times New Roman" w:hAnsi="Open Sans" w:cs="Open Sans"/>
                <w:color w:val="4C4C4C"/>
                <w:sz w:val="23"/>
                <w:szCs w:val="23"/>
                <w:lang w:eastAsia="ru-RU"/>
              </w:rPr>
            </w:pPr>
            <w:r w:rsidRPr="003D1D92">
              <w:rPr>
                <w:rFonts w:ascii="Open Sans" w:eastAsia="Times New Roman" w:hAnsi="Open Sans" w:cs="Open Sans"/>
                <w:noProof/>
                <w:color w:val="4C4C4C"/>
                <w:sz w:val="23"/>
                <w:szCs w:val="23"/>
                <w:lang w:eastAsia="ru-RU"/>
              </w:rPr>
              <w:drawing>
                <wp:inline distT="0" distB="0" distL="0" distR="0" wp14:anchorId="786137E6" wp14:editId="64E59C51">
                  <wp:extent cx="4667250" cy="349885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E160B" w14:textId="1C6284DE" w:rsidR="003D1D92" w:rsidRPr="003D1D92" w:rsidRDefault="003D1D92" w:rsidP="003D1D92">
            <w:pPr>
              <w:spacing w:after="0" w:line="240" w:lineRule="auto"/>
              <w:rPr>
                <w:rFonts w:ascii="Open Sans" w:eastAsia="Times New Roman" w:hAnsi="Open Sans" w:cs="Open Sans"/>
                <w:color w:val="4C4C4C"/>
                <w:sz w:val="23"/>
                <w:szCs w:val="23"/>
                <w:lang w:eastAsia="ru-RU"/>
              </w:rPr>
            </w:pPr>
            <w:r w:rsidRPr="003D1D92">
              <w:rPr>
                <w:rFonts w:ascii="Open Sans" w:eastAsia="Times New Roman" w:hAnsi="Open Sans" w:cs="Open Sans"/>
                <w:noProof/>
                <w:color w:val="4C4C4C"/>
                <w:sz w:val="23"/>
                <w:szCs w:val="23"/>
                <w:lang w:eastAsia="ru-RU"/>
              </w:rPr>
              <w:drawing>
                <wp:inline distT="0" distB="0" distL="0" distR="0" wp14:anchorId="44AA6040" wp14:editId="69EBF6A8">
                  <wp:extent cx="4667250" cy="349885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1F996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150E6EF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Не только визуальные составляющие формируют общую картину происходящего. Все чаще на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фасилитационных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воркшопах звучит </w:t>
      </w:r>
      <w:r w:rsidRPr="003D1D92">
        <w:rPr>
          <w:rFonts w:ascii="Open Sans" w:eastAsia="Times New Roman" w:hAnsi="Open Sans" w:cs="Open Sans"/>
          <w:b/>
          <w:bCs/>
          <w:color w:val="4C4C4C"/>
          <w:sz w:val="23"/>
          <w:szCs w:val="23"/>
          <w:bdr w:val="none" w:sz="0" w:space="0" w:color="auto" w:frame="1"/>
          <w:lang w:eastAsia="ru-RU"/>
        </w:rPr>
        <w:t>музыка</w:t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, особенно во время </w:t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lastRenderedPageBreak/>
        <w:t>креативной работы. Больше всего музыкальное сопровождение распространено в Азии.</w:t>
      </w:r>
    </w:p>
    <w:p w14:paraId="17B80078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Еще одной особенностью стало наличие </w:t>
      </w:r>
      <w:r w:rsidRPr="003D1D92">
        <w:rPr>
          <w:rFonts w:ascii="Open Sans" w:eastAsia="Times New Roman" w:hAnsi="Open Sans" w:cs="Open Sans"/>
          <w:b/>
          <w:bCs/>
          <w:color w:val="4C4C4C"/>
          <w:sz w:val="23"/>
          <w:szCs w:val="23"/>
          <w:bdr w:val="none" w:sz="0" w:space="0" w:color="auto" w:frame="1"/>
          <w:lang w:eastAsia="ru-RU"/>
        </w:rPr>
        <w:t>сладостей </w:t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на мастер-классах в Азии. То есть речь идет о всем пространстве в целом, а не отдельных его поверхностях и составляющих.</w:t>
      </w:r>
    </w:p>
    <w:p w14:paraId="08F6C46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tbl>
      <w:tblPr>
        <w:tblW w:w="14700" w:type="dxa"/>
        <w:shd w:val="clear" w:color="auto" w:fill="F2F3F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0"/>
        <w:gridCol w:w="7350"/>
      </w:tblGrid>
      <w:tr w:rsidR="003D1D92" w:rsidRPr="003D1D92" w14:paraId="2AC87EFF" w14:textId="77777777" w:rsidTr="003D1D92"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DA5DDA" w14:textId="6664602C" w:rsidR="003D1D92" w:rsidRPr="003D1D92" w:rsidRDefault="003D1D92" w:rsidP="003D1D92">
            <w:pPr>
              <w:spacing w:after="0" w:line="240" w:lineRule="auto"/>
              <w:rPr>
                <w:rFonts w:ascii="Open Sans" w:eastAsia="Times New Roman" w:hAnsi="Open Sans" w:cs="Open Sans"/>
                <w:color w:val="4C4C4C"/>
                <w:sz w:val="23"/>
                <w:szCs w:val="23"/>
                <w:lang w:eastAsia="ru-RU"/>
              </w:rPr>
            </w:pPr>
            <w:r w:rsidRPr="003D1D92">
              <w:rPr>
                <w:rFonts w:ascii="Open Sans" w:eastAsia="Times New Roman" w:hAnsi="Open Sans" w:cs="Open Sans"/>
                <w:noProof/>
                <w:color w:val="4C4C4C"/>
                <w:sz w:val="23"/>
                <w:szCs w:val="23"/>
                <w:lang w:eastAsia="ru-RU"/>
              </w:rPr>
              <w:drawing>
                <wp:inline distT="0" distB="0" distL="0" distR="0" wp14:anchorId="573B4E17" wp14:editId="67FCC026">
                  <wp:extent cx="4667250" cy="349885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4F6AFF" w14:textId="54E4934C" w:rsidR="003D1D92" w:rsidRPr="003D1D92" w:rsidRDefault="003D1D92" w:rsidP="003D1D92">
            <w:pPr>
              <w:spacing w:after="0" w:line="240" w:lineRule="auto"/>
              <w:rPr>
                <w:rFonts w:ascii="Open Sans" w:eastAsia="Times New Roman" w:hAnsi="Open Sans" w:cs="Open Sans"/>
                <w:color w:val="4C4C4C"/>
                <w:sz w:val="23"/>
                <w:szCs w:val="23"/>
                <w:lang w:eastAsia="ru-RU"/>
              </w:rPr>
            </w:pPr>
            <w:r w:rsidRPr="003D1D92">
              <w:rPr>
                <w:rFonts w:ascii="Open Sans" w:eastAsia="Times New Roman" w:hAnsi="Open Sans" w:cs="Open Sans"/>
                <w:noProof/>
                <w:color w:val="4C4C4C"/>
                <w:sz w:val="23"/>
                <w:szCs w:val="23"/>
                <w:lang w:eastAsia="ru-RU"/>
              </w:rPr>
              <w:drawing>
                <wp:inline distT="0" distB="0" distL="0" distR="0" wp14:anchorId="192FB634" wp14:editId="771AA97A">
                  <wp:extent cx="4667250" cy="349885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CC59D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2CF61518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На первый взгляд может показаться, что все это выглядит несколько странно и сумбурно. Но в процессе занятий становится понятно, что эти «фишки» благоприятно влияют на творческую работу.</w:t>
      </w:r>
    </w:p>
    <w:p w14:paraId="7793F343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1E83E5D" w14:textId="77777777" w:rsidR="003D1D92" w:rsidRPr="003D1D92" w:rsidRDefault="003D1D92" w:rsidP="003D1D92">
      <w:pPr>
        <w:shd w:val="clear" w:color="auto" w:fill="F2F3F3"/>
        <w:spacing w:after="0" w:line="600" w:lineRule="atLeast"/>
        <w:textAlignment w:val="baseline"/>
        <w:outlineLvl w:val="3"/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</w:pPr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 xml:space="preserve">4. Увеличение важности проработки глубины личности </w:t>
      </w:r>
      <w:proofErr w:type="spellStart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, используемых им инструментов, этики и компетенций IAF</w:t>
      </w:r>
    </w:p>
    <w:p w14:paraId="45AD345A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20BE2DE0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Что очень бросалось в глаза на зарубежных конференциях, так это то, что многие воркшопы были направлены на глубинную работу с личностью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. В Азии на одном из них на тему «Поиск своего собственного компаса и направления» разбирались такие основополагающие вопросы, как: «А куда вам идти как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фасилитатору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? В каком направлении развиваться?» Мастер-класс длился целый день, каждый его участник искал ответы на вопросы: «Когда его путь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начался? Как развивался этот путь? Где он сейчас? Куда он дальше планирует идти? А зачем ему это?».</w:t>
      </w:r>
    </w:p>
    <w:p w14:paraId="3AF2B84D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C953838" w14:textId="5BB494F5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noProof/>
          <w:color w:val="4C4C4C"/>
          <w:sz w:val="23"/>
          <w:szCs w:val="23"/>
          <w:lang w:eastAsia="ru-RU"/>
        </w:rPr>
        <w:lastRenderedPageBreak/>
        <w:drawing>
          <wp:inline distT="0" distB="0" distL="0" distR="0" wp14:anchorId="566DA74E" wp14:editId="53ED8FDB">
            <wp:extent cx="5940425" cy="44526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7271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6725386F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То есть шла глубинная работа, происходило осознание пройденного пути и понимание куда двигаться дальше. Еще более глубинная работа была на другом тренинге, на котором участники задавались вопросом: «А зачем вообще нам это нужно, кто мы такие, какие барьеры нам мешают, какая требуется проработка?». Здесь имели место элементы психодрамы, некоторые участники плакали. В числе других схожих тем с азиатской конференции, «Проработка личности и воздействие общества: динамика гибких изменений и трансформации», «Изучение понятия "Я" и смещение акцента в сторону понятия "Мы"». Работа с более глубинными смыслами велась и в рамках европейской конференции «Фасилитация с энтузиазмом и смыслом».</w:t>
      </w:r>
    </w:p>
    <w:p w14:paraId="19F2DCEF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151271CD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Зарубежный подход существенно отличается от российского. На тренинги в России люди в основном приходят за конкретными и простыми инструментами фасилитации. Воркшопы, посвященные работе над глубиной личности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, пользуются пока меньшим спросом. Зачастую это порождает непрофессиональные ситуации, когда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предлагает применить инструменты, не поняв и не разобравшись полностью в проблеме и ситуации. Ведь, если представить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в виде айсберга, то инструменты, которые он использует – лишь верхушка гигантской глыбы.</w:t>
      </w:r>
    </w:p>
    <w:p w14:paraId="7FA4890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662AD824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Еще одной важной темой на международной арене становится уровень компетенций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. Этот вопрос является одним из самых значимых для международной ассоциации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IAF, которая активно его развивает. </w:t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lastRenderedPageBreak/>
        <w:t>Данной теме также посвящен ряд воркшопов конференция, к примеру, в Азии один из них назывался «Основные компетенции в реальной жизни и в культурах».</w:t>
      </w:r>
    </w:p>
    <w:p w14:paraId="14B2D93D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2C44ABD0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IAF разработало ряд фундаментальных компетенций профессионального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, работающего на рынке. Многие иностранные тренинги начинаются с того, что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озвучивает, какие именно компетенции будут прорабатываться на этом занятии. А чтобы стать сертифицированным специалистом необходимо сдать экзамен, в рамках которого необходимо обязательно продемонстрировать знание этики и компетенций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. Без этого получить сертификат невозможно.</w:t>
      </w:r>
    </w:p>
    <w:p w14:paraId="61801C4F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ACAE310" w14:textId="77777777" w:rsidR="003D1D92" w:rsidRPr="003D1D92" w:rsidRDefault="003D1D92" w:rsidP="003D1D92">
      <w:pPr>
        <w:shd w:val="clear" w:color="auto" w:fill="F2F3F3"/>
        <w:spacing w:after="0" w:line="600" w:lineRule="atLeast"/>
        <w:textAlignment w:val="baseline"/>
        <w:outlineLvl w:val="3"/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</w:pPr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 xml:space="preserve">5. Увеличение количества </w:t>
      </w:r>
      <w:proofErr w:type="spellStart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 xml:space="preserve"> со специализацией</w:t>
      </w:r>
    </w:p>
    <w:p w14:paraId="2475808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4AD193B6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Численность профессиональных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с каждым годом растет и это приводит к тому, что фасилитация разветвляется на отдельные специализации. На западе, в Америке и Азии этот тренд развивается уже давно и играет очень большую роль.</w:t>
      </w:r>
    </w:p>
    <w:p w14:paraId="651C9BEF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15971278" w14:textId="1A41E79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noProof/>
          <w:color w:val="4C4C4C"/>
          <w:sz w:val="23"/>
          <w:szCs w:val="23"/>
          <w:lang w:eastAsia="ru-RU"/>
        </w:rPr>
        <w:drawing>
          <wp:inline distT="0" distB="0" distL="0" distR="0" wp14:anchorId="47B840F0" wp14:editId="7008BCDA">
            <wp:extent cx="5940425" cy="44526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C359F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6C91FF28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lastRenderedPageBreak/>
        <w:t>Например, в Северной Америке стандартный вопрос, который задают участники конференции друг другу: «На чем вы специализируетесь?»</w:t>
      </w:r>
    </w:p>
    <w:p w14:paraId="37F69F09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B3FFFB4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Вот только некоторые направления специализации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:</w:t>
      </w:r>
    </w:p>
    <w:p w14:paraId="3141514B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31D866DD" w14:textId="77777777" w:rsidR="003D1D92" w:rsidRPr="003D1D92" w:rsidRDefault="003D1D92" w:rsidP="003D1D92">
      <w:pPr>
        <w:numPr>
          <w:ilvl w:val="0"/>
          <w:numId w:val="2"/>
        </w:numPr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- Методы. Кто-то специализируется на типах сессий (к примеру, сессиях стратегического планирования).</w:t>
      </w:r>
    </w:p>
    <w:p w14:paraId="55EF041A" w14:textId="77777777" w:rsidR="003D1D92" w:rsidRPr="003D1D92" w:rsidRDefault="003D1D92" w:rsidP="003D1D92">
      <w:pPr>
        <w:numPr>
          <w:ilvl w:val="0"/>
          <w:numId w:val="2"/>
        </w:numPr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- Клиенты. Специализация некоторых связана наоборот с аудиторией (благотворительные дома, фонды, детские дома, госорганизации и т.д.)</w:t>
      </w:r>
    </w:p>
    <w:p w14:paraId="4D7D2ECA" w14:textId="77777777" w:rsidR="003D1D92" w:rsidRPr="003D1D92" w:rsidRDefault="003D1D92" w:rsidP="003D1D92">
      <w:pPr>
        <w:numPr>
          <w:ilvl w:val="0"/>
          <w:numId w:val="2"/>
        </w:numPr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- Сессии. Другие – эксперты в определенных методах фасилитации (методе позитивных изменениях AI, креативных методиках или методе Technology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of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Participation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ToP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).</w:t>
      </w:r>
    </w:p>
    <w:p w14:paraId="5678D0F3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73F4E4BF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Все чаще в крупных компаниях формируется целая команда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, каждый из которых специализируется на определенной области. Это позволяет выработать и провести сессию любой сложности.</w:t>
      </w:r>
    </w:p>
    <w:p w14:paraId="14F877DD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В России этот тренд пока развивается не очень активно и строгого деления среди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не наблюдается. Обычно один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ведет деятельность сразу во многих или даже во всех областях.</w:t>
      </w:r>
    </w:p>
    <w:p w14:paraId="1B1B1229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78945D32" w14:textId="77777777" w:rsidR="003D1D92" w:rsidRPr="003D1D92" w:rsidRDefault="003D1D92" w:rsidP="003D1D92">
      <w:pPr>
        <w:shd w:val="clear" w:color="auto" w:fill="F2F3F3"/>
        <w:spacing w:after="0" w:line="600" w:lineRule="atLeast"/>
        <w:textAlignment w:val="baseline"/>
        <w:outlineLvl w:val="3"/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</w:pPr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 xml:space="preserve">6. Стирание географических и культурных границ взаимодействия, синергия опыта </w:t>
      </w:r>
      <w:proofErr w:type="spellStart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t xml:space="preserve"> разного уровня экспертности</w:t>
      </w:r>
    </w:p>
    <w:p w14:paraId="6EC8511B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15DC6216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Направление фасилитации переживает активный этап глобализации.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Фасилитаторы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все меньше и меньше ассоциируются с конкретной страной, количество интернациональных проектов растет. В международных конференциях участвуют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фасилитаторы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из разных стран. В азиатской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конференциии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, кроме местных стран (Япония, Сингапур, Гонконг, Китай), были участники 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фасилитаторы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из Австралии, Индии, США, Канады, Нидерландов, Финляндии, Швеции, России. А на конференции в Северной Америке наоборот были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фасилитаторы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из Европы, Азии, Индии, Южной Америки. Это позволяет значительно расширить кругозор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 увидеть разные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фасилитационные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стили и техники.</w:t>
      </w:r>
    </w:p>
    <w:p w14:paraId="42ABA169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4D5C148E" w14:textId="7F7AB0A9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noProof/>
          <w:color w:val="4C4C4C"/>
          <w:sz w:val="23"/>
          <w:szCs w:val="23"/>
          <w:lang w:eastAsia="ru-RU"/>
        </w:rPr>
        <w:lastRenderedPageBreak/>
        <w:drawing>
          <wp:inline distT="0" distB="0" distL="0" distR="0" wp14:anchorId="02A01CB8" wp14:editId="2A8D080D">
            <wp:extent cx="5940425" cy="44526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7C80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2EEE3070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Происходит движение от конкуренции к сотрудничеству. Даже вне рамок конференций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фасилитаторы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из многочисленных стран проводят сессии в разных уголках мира. При этом происходит смешение не только географических, но и коммуникационных, национальных и культурных границ. Границы постепенно стираются и создаются международные кооперации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фасилитарторов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.</w:t>
      </w:r>
    </w:p>
    <w:p w14:paraId="02C50EC9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Еще одним доказательством тренда служит запланированная на 2020 год Международная глобальная конференция IAF для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со всего мира. По-настоящему грандиозное событие будет проведено впервые с даты основания ассоциации в 1994 году.</w:t>
      </w:r>
    </w:p>
    <w:p w14:paraId="5CD4DD2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6D361556" w14:textId="4C5250D1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noProof/>
          <w:color w:val="4C4C4C"/>
          <w:sz w:val="23"/>
          <w:szCs w:val="23"/>
          <w:lang w:eastAsia="ru-RU"/>
        </w:rPr>
        <w:lastRenderedPageBreak/>
        <w:drawing>
          <wp:inline distT="0" distB="0" distL="0" distR="0" wp14:anchorId="537A770A" wp14:editId="5115CC7A">
            <wp:extent cx="5940425" cy="40678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D7D1A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221527D6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Но речь идет не только о расширении географии. В Азии практически 90% воркшопов вели 2-3, а то и 4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. Иногда специалисты были одного уровня. Но в то же самое время очень распространены были мастер-классы, когда один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выступал в качестве ментора и гуру, а другой как будто был его ассистентом, учеником. Так, на конференции в Северной Америке тренинг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проводил эксперт по психодраме Роджер Шварц из Австралии, а на второй роли у него был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Ноэл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Тан – сертифицированный CPF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, глава ассоциации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в 2016-2017 году. В свою очередь, Барбара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Маккей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, международный сертифицированный CPF,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из Зала Славы IAF, проводила тренинги совместно как с другими CPF, так и начинающими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фасилитаторами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. Такое сотрудничество позволяет обмениваться разнородным опытом друг с другом, стирать границы в возрасте, культуре и т.д.</w:t>
      </w:r>
    </w:p>
    <w:p w14:paraId="20A60AF8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tbl>
      <w:tblPr>
        <w:tblW w:w="14700" w:type="dxa"/>
        <w:shd w:val="clear" w:color="auto" w:fill="F2F3F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0"/>
        <w:gridCol w:w="7350"/>
      </w:tblGrid>
      <w:tr w:rsidR="003D1D92" w:rsidRPr="003D1D92" w14:paraId="54AA8515" w14:textId="77777777" w:rsidTr="003D1D92"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FF97D9" w14:textId="4217B907" w:rsidR="003D1D92" w:rsidRPr="003D1D92" w:rsidRDefault="003D1D92" w:rsidP="003D1D92">
            <w:pPr>
              <w:spacing w:after="0" w:line="240" w:lineRule="auto"/>
              <w:rPr>
                <w:rFonts w:ascii="Open Sans" w:eastAsia="Times New Roman" w:hAnsi="Open Sans" w:cs="Open Sans"/>
                <w:color w:val="4C4C4C"/>
                <w:sz w:val="23"/>
                <w:szCs w:val="23"/>
                <w:lang w:eastAsia="ru-RU"/>
              </w:rPr>
            </w:pPr>
            <w:r w:rsidRPr="003D1D92">
              <w:rPr>
                <w:rFonts w:ascii="Open Sans" w:eastAsia="Times New Roman" w:hAnsi="Open Sans" w:cs="Open Sans"/>
                <w:noProof/>
                <w:color w:val="4C4C4C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1C359D51" wp14:editId="7391F959">
                  <wp:extent cx="4667250" cy="349885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712BD0" w14:textId="51A21A22" w:rsidR="003D1D92" w:rsidRPr="003D1D92" w:rsidRDefault="003D1D92" w:rsidP="003D1D92">
            <w:pPr>
              <w:spacing w:after="0" w:line="240" w:lineRule="auto"/>
              <w:rPr>
                <w:rFonts w:ascii="Open Sans" w:eastAsia="Times New Roman" w:hAnsi="Open Sans" w:cs="Open Sans"/>
                <w:color w:val="4C4C4C"/>
                <w:sz w:val="23"/>
                <w:szCs w:val="23"/>
                <w:lang w:eastAsia="ru-RU"/>
              </w:rPr>
            </w:pPr>
            <w:r w:rsidRPr="003D1D92">
              <w:rPr>
                <w:rFonts w:ascii="Open Sans" w:eastAsia="Times New Roman" w:hAnsi="Open Sans" w:cs="Open Sans"/>
                <w:noProof/>
                <w:color w:val="4C4C4C"/>
                <w:sz w:val="23"/>
                <w:szCs w:val="23"/>
                <w:lang w:eastAsia="ru-RU"/>
              </w:rPr>
              <w:drawing>
                <wp:inline distT="0" distB="0" distL="0" distR="0" wp14:anchorId="4FE0FF5F" wp14:editId="13D44685">
                  <wp:extent cx="4667250" cy="349885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C04B26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680FC672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Один из мастер-классов в Северной Америке был посвящен путям развития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. И эксперты приводили разнообразные примеры обогащения своего опыта: некоторые проводили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фасилитационные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сессии в племени в Африке, другие работали с группами, с которыми не сотрудничали ранее, например, со школьниками. Все эти новые вызовы позволяли переосмыслить деятельность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, выстроить более сбалансированно работу и в дальнейшем использовать при проведении стратегических сессий что-то новое. Изучение других культур – чрезвычайно важный аспект для увеличения качества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фасилитационных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сессий.</w:t>
      </w:r>
    </w:p>
    <w:p w14:paraId="403CF4DB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7D8A4F8B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Как мы знаем, тренд смешения границ очень популярен в бизнесе в целом. Например, в международных компаниях и корпорациях традиционно происходит перемещение сотрудников в филиалы компании в других регионах или странах. Такой прием дает толчок развитию с финансовой точки зрения, прибыльности, расширения инструментов и др.</w:t>
      </w:r>
    </w:p>
    <w:p w14:paraId="3E1A8D78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1BB205B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В российском понимании наличие двух и более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из разных компаний обуславливается больше функциональной необходимостью, нежели потребностью во взаимном обучении, развитии и росте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. Исключением на отечественном рынке является 7-ми модульная программа MBF (Master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of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business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facilitation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), которая запущена двумя CPF IAF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фасилитаторами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из двух разных компаний – Андреем Колесниковым из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PowerLexis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 Александрой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Косулиной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из F-Point. Программа уникальна еще и тем, что для преподавания привлечены 8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из разных стран.</w:t>
      </w:r>
    </w:p>
    <w:p w14:paraId="17931900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132D9B7" w14:textId="77777777" w:rsidR="003D1D92" w:rsidRPr="003D1D92" w:rsidRDefault="003D1D92" w:rsidP="003D1D92">
      <w:pPr>
        <w:shd w:val="clear" w:color="auto" w:fill="F2F3F3"/>
        <w:spacing w:after="0" w:line="600" w:lineRule="atLeast"/>
        <w:textAlignment w:val="baseline"/>
        <w:outlineLvl w:val="3"/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</w:pPr>
      <w:r w:rsidRPr="003D1D92">
        <w:rPr>
          <w:rFonts w:ascii="Open Sans" w:eastAsia="Times New Roman" w:hAnsi="Open Sans" w:cs="Open Sans"/>
          <w:color w:val="333333"/>
          <w:sz w:val="45"/>
          <w:szCs w:val="45"/>
          <w:lang w:eastAsia="ru-RU"/>
        </w:rPr>
        <w:lastRenderedPageBreak/>
        <w:t>7. Развитие фасилитации в целом и рост влияния IAF в мире  </w:t>
      </w:r>
    </w:p>
    <w:p w14:paraId="16D6E440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4CFF2984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В последние годы фасилитация развивается в мире очень активно, с каждым годом число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заметно увеличивается. Во многих странах направление появляется только сейчас, начинает активно использоваться и внедряться. Например, в Африке количество членов IAF увеличилось за последние 2 года в два раза. Азия – лидер по абсолютному приросту количества членов IAF. На этом фоне возрастает роль сертификации, которая обеспечивает серьезный рост и импульс для развития.</w:t>
      </w:r>
    </w:p>
    <w:p w14:paraId="73E8901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3BEDCB48" w14:textId="377E27B9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noProof/>
          <w:color w:val="4C4C4C"/>
          <w:sz w:val="23"/>
          <w:szCs w:val="23"/>
          <w:lang w:eastAsia="ru-RU"/>
        </w:rPr>
        <w:drawing>
          <wp:inline distT="0" distB="0" distL="0" distR="0" wp14:anchorId="05B1BC47" wp14:editId="3DDF3843">
            <wp:extent cx="5940425" cy="21348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C50B7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3D141D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Огромное значение приобретает закрепление перечня общепринятых стандартов и ключевых компетенций профессионального специалиста, а также получение сертификации. В других смежных направлениях, например, в коучинге аналогичный подход уже сформировался.</w:t>
      </w:r>
    </w:p>
    <w:p w14:paraId="0DD89CC5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4A02F11B" w14:textId="78D6C1AC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noProof/>
          <w:color w:val="4C4C4C"/>
          <w:sz w:val="23"/>
          <w:szCs w:val="23"/>
          <w:lang w:eastAsia="ru-RU"/>
        </w:rPr>
        <w:drawing>
          <wp:inline distT="0" distB="0" distL="0" distR="0" wp14:anchorId="0E909E54" wp14:editId="0BDEAE70">
            <wp:extent cx="5940425" cy="26365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873D8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09B119E9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Развитием и внедрением критериев, касающихся профессиональной фасилитации, активно занимается Международная ассоциация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</w:t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lastRenderedPageBreak/>
        <w:t xml:space="preserve">IAF, которая объединяет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в более чем 65 странах. Как профессиональная ассоциация IAF устанавливает международные отраслевые стандарты, предоставляет аккредитацию, поддерживает сообщество, пропагандирует и развивает фасилитацию, как направление. Сертификация, которую проводит IAF – самая значимая среди профессиональных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, признаваемая во всем мире и гарантирующая мастерство и высокий уровень специалиста.</w:t>
      </w:r>
    </w:p>
    <w:p w14:paraId="6A3BBD9C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10E5EBD5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Сертификация очень распространена за рубежом. Например, в одном Центральном банке США работают 15 только внутренних CPF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.</w:t>
      </w:r>
    </w:p>
    <w:p w14:paraId="5F94FBE8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7190CF97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Кроме международной ассоциации есть и многочисленные региональные ассоциации с довольно большим количеством участников. Например, в Японии в местную ассоциацию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фасилитаторов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входят более 1500 членов.</w:t>
      </w:r>
    </w:p>
    <w:p w14:paraId="5B78CBAA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442A23AE" w14:textId="386A3526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noProof/>
          <w:color w:val="4C4C4C"/>
          <w:sz w:val="23"/>
          <w:szCs w:val="23"/>
          <w:lang w:eastAsia="ru-RU"/>
        </w:rPr>
        <w:drawing>
          <wp:inline distT="0" distB="0" distL="0" distR="0" wp14:anchorId="5D16A846" wp14:editId="006B88C2">
            <wp:extent cx="5940425" cy="44526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ABC5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7E756B12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Вступление в специализированные ассоциации дает огромное количество плюсов и бонусов. Например, член IAF имеет возможность общаться с другими более опытными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фасилитаторами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, консультироваться, обзавестись ментором и даже получать помощь в создании сценария сессии или применения методов.</w:t>
      </w:r>
    </w:p>
    <w:p w14:paraId="79998ED1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 </w:t>
      </w:r>
    </w:p>
    <w:p w14:paraId="1308DCBE" w14:textId="77777777" w:rsidR="003D1D92" w:rsidRPr="003D1D92" w:rsidRDefault="003D1D92" w:rsidP="003D1D92">
      <w:pPr>
        <w:shd w:val="clear" w:color="auto" w:fill="F2F3F3"/>
        <w:spacing w:after="0" w:line="240" w:lineRule="auto"/>
        <w:textAlignment w:val="baseline"/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</w:pP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В России профессия </w:t>
      </w:r>
      <w:proofErr w:type="spellStart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>фасилитатора</w:t>
      </w:r>
      <w:proofErr w:type="spellEnd"/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t xml:space="preserve"> относительно новая, и пока получение международного сертификата не получило широкого распространения. Но для специалистов из России прохождение сертификации – это также возможность </w:t>
      </w:r>
      <w:r w:rsidRPr="003D1D92">
        <w:rPr>
          <w:rFonts w:ascii="Open Sans" w:eastAsia="Times New Roman" w:hAnsi="Open Sans" w:cs="Open Sans"/>
          <w:color w:val="4C4C4C"/>
          <w:sz w:val="23"/>
          <w:szCs w:val="23"/>
          <w:lang w:eastAsia="ru-RU"/>
        </w:rPr>
        <w:lastRenderedPageBreak/>
        <w:t>заявить о себе на международном уровне, возможность оценить себя, как специалиста, получить обратную связь от профессионалов с десятилетним стажем, войти в международное сообщество и развиваться уже в рамках высоких стандартов.</w:t>
      </w:r>
    </w:p>
    <w:p w14:paraId="246B80A6" w14:textId="6CAA57E2" w:rsidR="002C519D" w:rsidRDefault="002C519D"/>
    <w:p w14:paraId="5DFA62F9" w14:textId="316B5D77" w:rsidR="003D1D92" w:rsidRDefault="003D1D92">
      <w:r>
        <w:t xml:space="preserve">Источник: </w:t>
      </w:r>
      <w:r w:rsidRPr="003D1D92">
        <w:t>http://powerlexis.ru/7-trendov-mir-fasilitacii-i-fasilitaciya-v-mire.html</w:t>
      </w:r>
    </w:p>
    <w:sectPr w:rsidR="003D1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B7198"/>
    <w:multiLevelType w:val="multilevel"/>
    <w:tmpl w:val="51661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105372"/>
    <w:multiLevelType w:val="multilevel"/>
    <w:tmpl w:val="F3DCE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D92"/>
    <w:rsid w:val="002C519D"/>
    <w:rsid w:val="003D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0966F"/>
  <w15:chartTrackingRefBased/>
  <w15:docId w15:val="{24BEDD1D-0FF7-4E50-88E5-C134A2DE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D1D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3D1D9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1D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D1D9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D1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1D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2756</Words>
  <Characters>15712</Characters>
  <Application>Microsoft Office Word</Application>
  <DocSecurity>0</DocSecurity>
  <Lines>130</Lines>
  <Paragraphs>36</Paragraphs>
  <ScaleCrop>false</ScaleCrop>
  <Company/>
  <LinksUpToDate>false</LinksUpToDate>
  <CharactersWithSpaces>18432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Kovbasiuk</dc:creator>
  <cp:keywords/>
  <dc:description/>
  <cp:lastModifiedBy>Irina Kovbasiuk</cp:lastModifiedBy>
  <cp:revision>1</cp:revision>
  <dcterms:created xsi:type="dcterms:W3CDTF">2021-08-11T05:48:00Z</dcterms:created>
  <dcterms:modified xsi:type="dcterms:W3CDTF">2021-08-11T05:49:00Z</dcterms:modified>
</cp:coreProperties>
</file>